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6F0D16">
        <w:trPr>
          <w:trHeight w:val="595"/>
        </w:trPr>
        <w:tc>
          <w:tcPr>
            <w:tcW w:w="9356" w:type="dxa"/>
          </w:tcPr>
          <w:p w:rsidR="000127D3" w:rsidRDefault="006917D5" w:rsidP="00D7619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wird </w:t>
            </w:r>
            <w:r w:rsidR="00C52205">
              <w:rPr>
                <w:rFonts w:ascii="Arial" w:hAnsi="Arial"/>
                <w:sz w:val="20"/>
              </w:rPr>
              <w:t>laut</w:t>
            </w:r>
            <w:r>
              <w:rPr>
                <w:rFonts w:ascii="Arial" w:hAnsi="Arial"/>
                <w:sz w:val="20"/>
              </w:rPr>
              <w:t xml:space="preserve"> Beitrag bei den Wählern eher angesprochen, </w:t>
            </w:r>
            <w:r w:rsidR="00C52205">
              <w:rPr>
                <w:rFonts w:ascii="Arial" w:hAnsi="Arial"/>
                <w:sz w:val="20"/>
              </w:rPr>
              <w:t>der V</w:t>
            </w:r>
            <w:r>
              <w:rPr>
                <w:rFonts w:ascii="Arial" w:hAnsi="Arial"/>
                <w:sz w:val="20"/>
              </w:rPr>
              <w:t xml:space="preserve">erstand oder </w:t>
            </w:r>
            <w:r w:rsidR="00C52205">
              <w:rPr>
                <w:rFonts w:ascii="Arial" w:hAnsi="Arial"/>
                <w:sz w:val="20"/>
              </w:rPr>
              <w:t xml:space="preserve">das </w:t>
            </w:r>
            <w:r>
              <w:rPr>
                <w:rFonts w:ascii="Arial" w:hAnsi="Arial"/>
                <w:sz w:val="20"/>
              </w:rPr>
              <w:t>Herz?</w:t>
            </w:r>
          </w:p>
          <w:p w:rsidR="00DD2B9F" w:rsidRDefault="00DD2B9F" w:rsidP="00DD2B9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442666" w:rsidRPr="00DD2B9F" w:rsidRDefault="00DD2B9F" w:rsidP="000076FA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DD2B9F">
              <w:rPr>
                <w:rFonts w:ascii="Arial" w:hAnsi="Arial"/>
                <w:b/>
                <w:sz w:val="20"/>
                <w:szCs w:val="24"/>
              </w:rPr>
              <w:t>Im US-Wahlkampf spielen Werte und Emotionen, welche das Herz ansprechen, eine grosse Rolle.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DD2B9F" w:rsidRDefault="00921528" w:rsidP="0044266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Mittel der Täuschung werden dafür eingesetzt?</w:t>
            </w:r>
          </w:p>
          <w:p w:rsidR="00921528" w:rsidRPr="00DD2B9F" w:rsidRDefault="00921528" w:rsidP="00DD2B9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DD2B9F" w:rsidRPr="00DD2B9F">
              <w:rPr>
                <w:rFonts w:ascii="Arial" w:hAnsi="Arial"/>
                <w:b/>
                <w:sz w:val="20"/>
              </w:rPr>
              <w:t>Lüge und Verleumdung: Der politische Gegner wird möglichst schlecht dargestellt.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21528" w:rsidRDefault="00921528" w:rsidP="00921528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Wer investiert vor allem in den US-Wahlkampf und warum? </w:t>
            </w:r>
          </w:p>
          <w:p w:rsidR="00DD2B9F" w:rsidRDefault="00DD2B9F" w:rsidP="00DD2B9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21528" w:rsidRPr="00DD2B9F" w:rsidRDefault="00DD2B9F" w:rsidP="00921528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DD2B9F">
              <w:rPr>
                <w:rFonts w:ascii="Arial" w:hAnsi="Arial"/>
                <w:b/>
                <w:sz w:val="20"/>
                <w:szCs w:val="24"/>
              </w:rPr>
              <w:t>Unternehmen aus der  Wirtschaft sowie reiche Privatpersonen. Sie erhoffen sich Vorteile, falls die ihnen nahestehende Partei an die Macht kommt.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862692" w:rsidRPr="00862692" w:rsidRDefault="00921528" w:rsidP="0086269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Wie wurde die gewaltige Erhöhung der Wahlkampffinanzierung möglich? </w:t>
            </w:r>
          </w:p>
          <w:p w:rsidR="00921528" w:rsidRPr="00862692" w:rsidRDefault="00921528" w:rsidP="0086269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4F712E">
              <w:rPr>
                <w:rFonts w:ascii="Arial" w:hAnsi="Arial"/>
                <w:sz w:val="20"/>
              </w:rPr>
              <w:br/>
            </w:r>
            <w:r w:rsidR="00862692" w:rsidRPr="00862692">
              <w:rPr>
                <w:rFonts w:ascii="Arial" w:hAnsi="Arial"/>
                <w:b/>
                <w:sz w:val="20"/>
              </w:rPr>
              <w:t>Bis 2010 war durch Unternehmen finanzierte Wahlpropaganda verboten. Das oberste G</w:t>
            </w:r>
            <w:r w:rsidR="00862692" w:rsidRPr="00862692">
              <w:rPr>
                <w:rFonts w:ascii="Arial" w:hAnsi="Arial"/>
                <w:b/>
                <w:sz w:val="20"/>
              </w:rPr>
              <w:t>e</w:t>
            </w:r>
            <w:r w:rsidR="00862692" w:rsidRPr="00862692">
              <w:rPr>
                <w:rFonts w:ascii="Arial" w:hAnsi="Arial"/>
                <w:b/>
                <w:sz w:val="20"/>
              </w:rPr>
              <w:t>richt entschied 2010, dass Unternehmen neu unbeschränkt Parteien und somit den Wah</w:t>
            </w:r>
            <w:r w:rsidR="00862692" w:rsidRPr="00862692">
              <w:rPr>
                <w:rFonts w:ascii="Arial" w:hAnsi="Arial"/>
                <w:b/>
                <w:sz w:val="20"/>
              </w:rPr>
              <w:t>l</w:t>
            </w:r>
            <w:r w:rsidR="00862692" w:rsidRPr="00862692">
              <w:rPr>
                <w:rFonts w:ascii="Arial" w:hAnsi="Arial"/>
                <w:b/>
                <w:sz w:val="20"/>
              </w:rPr>
              <w:t>kampf finanzieren dürfen, weil sonst die Re</w:t>
            </w:r>
            <w:r w:rsidR="00862692">
              <w:rPr>
                <w:rFonts w:ascii="Arial" w:hAnsi="Arial"/>
                <w:b/>
                <w:sz w:val="20"/>
              </w:rPr>
              <w:t xml:space="preserve">defreiheit eingeschränkt wäre. </w:t>
            </w:r>
            <w:r w:rsidR="00862692" w:rsidRPr="00862692">
              <w:rPr>
                <w:rFonts w:ascii="Arial" w:hAnsi="Arial"/>
                <w:b/>
                <w:sz w:val="20"/>
              </w:rPr>
              <w:t>Ausgelöst wurde der Entscheid durch einen von Unternehmen</w:t>
            </w:r>
            <w:r w:rsidR="00862692">
              <w:rPr>
                <w:rFonts w:ascii="Arial" w:hAnsi="Arial"/>
                <w:b/>
                <w:sz w:val="20"/>
              </w:rPr>
              <w:t xml:space="preserve"> finanzierten</w:t>
            </w:r>
            <w:r w:rsidR="00862692" w:rsidRPr="00862692">
              <w:rPr>
                <w:rFonts w:ascii="Arial" w:hAnsi="Arial"/>
                <w:b/>
                <w:sz w:val="20"/>
              </w:rPr>
              <w:t xml:space="preserve"> Propagandafilm der Konservat</w:t>
            </w:r>
            <w:r w:rsidR="00862692" w:rsidRPr="00862692">
              <w:rPr>
                <w:rFonts w:ascii="Arial" w:hAnsi="Arial"/>
                <w:b/>
                <w:sz w:val="20"/>
              </w:rPr>
              <w:t>i</w:t>
            </w:r>
            <w:r w:rsidR="00862692" w:rsidRPr="00862692">
              <w:rPr>
                <w:rFonts w:ascii="Arial" w:hAnsi="Arial"/>
                <w:b/>
                <w:sz w:val="20"/>
              </w:rPr>
              <w:t>ven gegen Hil</w:t>
            </w:r>
            <w:r w:rsidR="00862692">
              <w:rPr>
                <w:rFonts w:ascii="Arial" w:hAnsi="Arial"/>
                <w:b/>
                <w:sz w:val="20"/>
              </w:rPr>
              <w:t>lary Clinton.</w:t>
            </w:r>
          </w:p>
        </w:tc>
      </w:tr>
      <w:tr w:rsidR="000127D3" w:rsidTr="000127D3">
        <w:tc>
          <w:tcPr>
            <w:tcW w:w="9356" w:type="dxa"/>
          </w:tcPr>
          <w:p w:rsidR="00D63589" w:rsidRPr="00921528" w:rsidRDefault="00D63589" w:rsidP="00921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921528" w:rsidRDefault="00921528" w:rsidP="00921528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Umschreiben Sie den Begriff «Super </w:t>
            </w:r>
            <w:proofErr w:type="spellStart"/>
            <w:r>
              <w:rPr>
                <w:rFonts w:ascii="Arial" w:hAnsi="Arial"/>
                <w:sz w:val="20"/>
              </w:rPr>
              <w:t>Pac</w:t>
            </w:r>
            <w:proofErr w:type="spellEnd"/>
            <w:r>
              <w:rPr>
                <w:rFonts w:ascii="Arial" w:hAnsi="Arial"/>
                <w:sz w:val="20"/>
              </w:rPr>
              <w:t>» mit einfachen Worten.</w:t>
            </w:r>
          </w:p>
          <w:p w:rsidR="00D3329E" w:rsidRDefault="00D3329E" w:rsidP="00D3329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D3329E" w:rsidRDefault="00D3329E" w:rsidP="00D3329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  <w:szCs w:val="24"/>
              </w:rPr>
            </w:pPr>
            <w:r w:rsidRPr="00D3329E">
              <w:rPr>
                <w:rFonts w:ascii="Arial" w:hAnsi="Arial"/>
                <w:b/>
                <w:sz w:val="20"/>
                <w:szCs w:val="24"/>
              </w:rPr>
              <w:t>Es ist eine politische Lobbyorganisation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, also ein </w:t>
            </w:r>
            <w:r w:rsidRPr="00D3329E">
              <w:rPr>
                <w:rFonts w:ascii="Arial" w:hAnsi="Arial"/>
                <w:b/>
                <w:sz w:val="20"/>
                <w:szCs w:val="24"/>
              </w:rPr>
              <w:t>Interessenverband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  <w:r w:rsidRPr="00D3329E">
              <w:rPr>
                <w:rFonts w:ascii="Arial" w:hAnsi="Arial"/>
                <w:b/>
                <w:sz w:val="20"/>
                <w:szCs w:val="24"/>
              </w:rPr>
              <w:t xml:space="preserve"> </w:t>
            </w:r>
          </w:p>
          <w:p w:rsidR="00D3329E" w:rsidRDefault="00D3329E" w:rsidP="00D3329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  <w:szCs w:val="24"/>
              </w:rPr>
            </w:pPr>
          </w:p>
          <w:p w:rsidR="000127D3" w:rsidRPr="00D3329E" w:rsidRDefault="00D3329E" w:rsidP="00D3329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D3329E">
              <w:rPr>
                <w:rFonts w:ascii="Arial" w:hAnsi="Arial"/>
                <w:b/>
                <w:sz w:val="20"/>
                <w:szCs w:val="24"/>
                <w:u w:val="single"/>
              </w:rPr>
              <w:t>P</w:t>
            </w:r>
            <w:r w:rsidRPr="00D3329E">
              <w:rPr>
                <w:rFonts w:ascii="Arial" w:hAnsi="Arial"/>
                <w:b/>
                <w:sz w:val="20"/>
                <w:szCs w:val="24"/>
              </w:rPr>
              <w:t xml:space="preserve">olitical </w:t>
            </w:r>
            <w:r w:rsidRPr="00D3329E">
              <w:rPr>
                <w:rFonts w:ascii="Arial" w:hAnsi="Arial"/>
                <w:b/>
                <w:sz w:val="20"/>
                <w:szCs w:val="24"/>
                <w:u w:val="single"/>
              </w:rPr>
              <w:t>A</w:t>
            </w:r>
            <w:r w:rsidRPr="00D3329E">
              <w:rPr>
                <w:rFonts w:ascii="Arial" w:hAnsi="Arial"/>
                <w:b/>
                <w:sz w:val="20"/>
                <w:szCs w:val="24"/>
              </w:rPr>
              <w:t xml:space="preserve">ction </w:t>
            </w:r>
            <w:proofErr w:type="spellStart"/>
            <w:r w:rsidRPr="00D3329E">
              <w:rPr>
                <w:rFonts w:ascii="Arial" w:hAnsi="Arial"/>
                <w:b/>
                <w:sz w:val="20"/>
                <w:szCs w:val="24"/>
                <w:u w:val="single"/>
              </w:rPr>
              <w:t>C</w:t>
            </w:r>
            <w:r w:rsidRPr="00D3329E">
              <w:rPr>
                <w:rFonts w:ascii="Arial" w:hAnsi="Arial"/>
                <w:b/>
                <w:sz w:val="20"/>
                <w:szCs w:val="24"/>
              </w:rPr>
              <w:t>o</w:t>
            </w:r>
            <w:r w:rsidRPr="00D3329E">
              <w:rPr>
                <w:rFonts w:ascii="Arial" w:hAnsi="Arial"/>
                <w:b/>
                <w:sz w:val="20"/>
                <w:szCs w:val="24"/>
              </w:rPr>
              <w:t>m</w:t>
            </w:r>
            <w:r>
              <w:rPr>
                <w:rFonts w:ascii="Arial" w:hAnsi="Arial"/>
                <w:b/>
                <w:sz w:val="20"/>
                <w:szCs w:val="24"/>
              </w:rPr>
              <w:t>mittee</w:t>
            </w:r>
            <w:proofErr w:type="spellEnd"/>
          </w:p>
        </w:tc>
      </w:tr>
      <w:tr w:rsidR="000127D3" w:rsidTr="000127D3">
        <w:tc>
          <w:tcPr>
            <w:tcW w:w="9356" w:type="dxa"/>
          </w:tcPr>
          <w:p w:rsidR="0011371C" w:rsidRPr="0097051A" w:rsidRDefault="0011371C" w:rsidP="009705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97051A" w:rsidRDefault="0097051A" w:rsidP="0097051A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tu</w:t>
            </w:r>
            <w:r w:rsidR="00861C20">
              <w:rPr>
                <w:rFonts w:ascii="Arial" w:hAnsi="Arial"/>
                <w:sz w:val="20"/>
              </w:rPr>
              <w:t>t ein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61C20">
              <w:rPr>
                <w:rFonts w:ascii="Arial" w:hAnsi="Arial"/>
                <w:sz w:val="20"/>
              </w:rPr>
              <w:t xml:space="preserve">«Super </w:t>
            </w:r>
            <w:proofErr w:type="spellStart"/>
            <w:r w:rsidR="00861C20">
              <w:rPr>
                <w:rFonts w:ascii="Arial" w:hAnsi="Arial"/>
                <w:sz w:val="20"/>
              </w:rPr>
              <w:t>Pac</w:t>
            </w:r>
            <w:proofErr w:type="spellEnd"/>
            <w:r w:rsidR="00861C20">
              <w:rPr>
                <w:rFonts w:ascii="Arial" w:hAnsi="Arial"/>
                <w:sz w:val="20"/>
              </w:rPr>
              <w:t>»</w:t>
            </w:r>
            <w:r w:rsidRPr="007A52E9">
              <w:rPr>
                <w:rFonts w:ascii="Arial" w:hAnsi="Arial"/>
                <w:sz w:val="20"/>
              </w:rPr>
              <w:t>?</w:t>
            </w:r>
          </w:p>
          <w:p w:rsidR="0090687B" w:rsidRPr="007A52E9" w:rsidRDefault="0090687B" w:rsidP="0090687B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  <w:p w:rsidR="000127D3" w:rsidRPr="0090687B" w:rsidRDefault="0090687B" w:rsidP="0090687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Ein </w:t>
            </w:r>
            <w:proofErr w:type="spellStart"/>
            <w:r w:rsidR="00DB5CE5">
              <w:rPr>
                <w:rFonts w:ascii="Arial" w:hAnsi="Arial"/>
                <w:b/>
                <w:sz w:val="20"/>
                <w:szCs w:val="24"/>
              </w:rPr>
              <w:t>Pac</w:t>
            </w:r>
            <w:proofErr w:type="spellEnd"/>
            <w:r w:rsidR="00DB5CE5">
              <w:rPr>
                <w:rFonts w:ascii="Arial" w:hAnsi="Arial"/>
                <w:b/>
                <w:sz w:val="20"/>
                <w:szCs w:val="24"/>
              </w:rPr>
              <w:t xml:space="preserve"> oder Super </w:t>
            </w:r>
            <w:proofErr w:type="spellStart"/>
            <w:r w:rsidR="00DB5CE5">
              <w:rPr>
                <w:rFonts w:ascii="Arial" w:hAnsi="Arial"/>
                <w:b/>
                <w:sz w:val="20"/>
                <w:szCs w:val="24"/>
              </w:rPr>
              <w:t>Pac</w:t>
            </w:r>
            <w:bookmarkStart w:id="0" w:name="_GoBack"/>
            <w:bookmarkEnd w:id="0"/>
            <w:proofErr w:type="spellEnd"/>
            <w:r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r w:rsidRPr="0090687B">
              <w:rPr>
                <w:rFonts w:ascii="Arial" w:hAnsi="Arial"/>
                <w:b/>
                <w:sz w:val="20"/>
                <w:szCs w:val="24"/>
              </w:rPr>
              <w:t>sammel</w:t>
            </w:r>
            <w:r>
              <w:rPr>
                <w:rFonts w:ascii="Arial" w:hAnsi="Arial"/>
                <w:b/>
                <w:sz w:val="20"/>
                <w:szCs w:val="24"/>
              </w:rPr>
              <w:t>t</w:t>
            </w:r>
            <w:r w:rsidRPr="0090687B">
              <w:rPr>
                <w:rFonts w:ascii="Arial" w:hAnsi="Arial"/>
                <w:b/>
                <w:sz w:val="20"/>
                <w:szCs w:val="24"/>
              </w:rPr>
              <w:t xml:space="preserve"> Geld für eine der beiden grossen Parteien. Damit finanzi</w:t>
            </w:r>
            <w:r w:rsidRPr="0090687B">
              <w:rPr>
                <w:rFonts w:ascii="Arial" w:hAnsi="Arial"/>
                <w:b/>
                <w:sz w:val="20"/>
                <w:szCs w:val="24"/>
              </w:rPr>
              <w:t>e</w:t>
            </w:r>
            <w:r w:rsidRPr="0090687B">
              <w:rPr>
                <w:rFonts w:ascii="Arial" w:hAnsi="Arial"/>
                <w:b/>
                <w:sz w:val="20"/>
                <w:szCs w:val="24"/>
              </w:rPr>
              <w:t>ren sie den Wahlkampf</w:t>
            </w:r>
            <w:r>
              <w:rPr>
                <w:rFonts w:ascii="Arial" w:hAnsi="Arial"/>
                <w:b/>
                <w:sz w:val="20"/>
                <w:szCs w:val="24"/>
              </w:rPr>
              <w:t>, zum Beispiel TV-Spots, Plakate, Flyer, etc.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D76196">
            <w:pPr>
              <w:pStyle w:val="Kopfzeile"/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D76196" w:rsidRDefault="002475B6" w:rsidP="00D7619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der beiden grossen Parteien profitiert mehr von der Wahlkampffinanzierung</w:t>
            </w:r>
            <w:r w:rsidR="00E936C7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Warum?</w:t>
            </w:r>
          </w:p>
          <w:p w:rsidR="00F43DE2" w:rsidRDefault="00F43DE2" w:rsidP="00F43DE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D76196" w:rsidRPr="00F43DE2" w:rsidRDefault="00F43DE2" w:rsidP="00D76196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F43DE2">
              <w:rPr>
                <w:rFonts w:ascii="Arial" w:hAnsi="Arial"/>
                <w:b/>
                <w:sz w:val="20"/>
                <w:szCs w:val="24"/>
              </w:rPr>
              <w:t>Die Republikaner, weil sie der Wirtschaft und der Oberschicht traditionell näher stehen und dort viel Geld vorhanden ist. Als Gegenleistung erhoffen sich die Spender Vorteile für ihr Unterne</w:t>
            </w:r>
            <w:r w:rsidRPr="00F43DE2">
              <w:rPr>
                <w:rFonts w:ascii="Arial" w:hAnsi="Arial"/>
                <w:b/>
                <w:sz w:val="20"/>
                <w:szCs w:val="24"/>
              </w:rPr>
              <w:t>h</w:t>
            </w:r>
            <w:r w:rsidRPr="00F43DE2">
              <w:rPr>
                <w:rFonts w:ascii="Arial" w:hAnsi="Arial"/>
                <w:b/>
                <w:sz w:val="20"/>
                <w:szCs w:val="24"/>
              </w:rPr>
              <w:t>men oder ihre Branche.</w:t>
            </w:r>
          </w:p>
        </w:tc>
      </w:tr>
    </w:tbl>
    <w:p w:rsidR="00291A61" w:rsidRDefault="00291A61" w:rsidP="006F0D16">
      <w:pPr>
        <w:rPr>
          <w:rFonts w:ascii="Arial" w:hAnsi="Arial"/>
          <w:b/>
          <w:i/>
          <w:sz w:val="20"/>
        </w:rPr>
      </w:pPr>
    </w:p>
    <w:sectPr w:rsidR="00291A61" w:rsidSect="006F0D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276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6" w:rsidRDefault="00D80246">
      <w:r>
        <w:separator/>
      </w:r>
    </w:p>
  </w:endnote>
  <w:endnote w:type="continuationSeparator" w:id="0">
    <w:p w:rsidR="00D80246" w:rsidRDefault="00D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152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DB5CE5">
            <w:fldChar w:fldCharType="begin"/>
          </w:r>
          <w:r w:rsidR="00DB5CE5">
            <w:instrText xml:space="preserve"> NUMPAGES   \* MERGEFORMAT </w:instrText>
          </w:r>
          <w:r w:rsidR="00DB5CE5">
            <w:fldChar w:fldCharType="separate"/>
          </w:r>
          <w:r w:rsidR="00921528" w:rsidRPr="0092152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B5CE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B5CE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DB5CE5">
            <w:fldChar w:fldCharType="begin"/>
          </w:r>
          <w:r w:rsidR="00DB5CE5">
            <w:instrText xml:space="preserve"> NUMPAGES   \* MERGEFORMAT </w:instrText>
          </w:r>
          <w:r w:rsidR="00DB5CE5">
            <w:fldChar w:fldCharType="separate"/>
          </w:r>
          <w:r w:rsidR="00DB5CE5" w:rsidRPr="00DB5CE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B5CE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64E04" w:rsidRDefault="00664E0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6" w:rsidRDefault="00D80246">
      <w:r>
        <w:separator/>
      </w:r>
    </w:p>
  </w:footnote>
  <w:footnote w:type="continuationSeparator" w:id="0">
    <w:p w:rsidR="00D80246" w:rsidRDefault="00D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Pr="008103E2" w:rsidRDefault="00664E04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A47B59">
      <w:trPr>
        <w:trHeight w:hRule="exact" w:val="567"/>
      </w:trPr>
      <w:tc>
        <w:tcPr>
          <w:tcW w:w="3932" w:type="dxa"/>
          <w:vMerge w:val="restart"/>
        </w:tcPr>
        <w:p w:rsidR="00664E04" w:rsidRDefault="00664E04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05BCB04" wp14:editId="0C88393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A47B59">
      <w:trPr>
        <w:trHeight w:hRule="exact" w:val="397"/>
      </w:trPr>
      <w:tc>
        <w:tcPr>
          <w:tcW w:w="3932" w:type="dxa"/>
          <w:vMerge/>
        </w:tcPr>
        <w:p w:rsidR="00664E04" w:rsidRDefault="00664E04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Default="00664E04" w:rsidP="00A47B59">
          <w:pPr>
            <w:pStyle w:val="Kopfzeile"/>
          </w:pPr>
        </w:p>
      </w:tc>
    </w:tr>
    <w:tr w:rsidR="00664E04" w:rsidTr="00A47B59">
      <w:tc>
        <w:tcPr>
          <w:tcW w:w="9356" w:type="dxa"/>
          <w:gridSpan w:val="3"/>
          <w:shd w:val="clear" w:color="auto" w:fill="C7C0B9"/>
          <w:vAlign w:val="center"/>
        </w:tcPr>
        <w:p w:rsidR="00664E04" w:rsidRPr="00E53CA0" w:rsidRDefault="00424DB8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Politik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664E04" w:rsidTr="00CD5FC0">
      <w:trPr>
        <w:trHeight w:val="227"/>
      </w:trPr>
      <w:tc>
        <w:tcPr>
          <w:tcW w:w="9356" w:type="dxa"/>
          <w:gridSpan w:val="6"/>
          <w:vAlign w:val="center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567"/>
      </w:trPr>
      <w:tc>
        <w:tcPr>
          <w:tcW w:w="3932" w:type="dxa"/>
          <w:gridSpan w:val="3"/>
          <w:vMerge w:val="restart"/>
        </w:tcPr>
        <w:p w:rsidR="00664E04" w:rsidRDefault="00A20B8F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BE105E5" wp14:editId="02AC16A2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CD5FC0">
          <w:pPr>
            <w:pStyle w:val="Kopfzeile"/>
          </w:pPr>
        </w:p>
        <w:p w:rsidR="00664E04" w:rsidRPr="0008046F" w:rsidRDefault="00664E04" w:rsidP="00CD5F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664E04" w:rsidRDefault="00664E04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:rsidR="00A35DAF" w:rsidRPr="002D01FD" w:rsidRDefault="00A35DAF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664E04" w:rsidTr="00CD5FC0">
      <w:trPr>
        <w:trHeight w:hRule="exact" w:val="397"/>
      </w:trPr>
      <w:tc>
        <w:tcPr>
          <w:tcW w:w="3932" w:type="dxa"/>
          <w:gridSpan w:val="3"/>
          <w:vMerge/>
        </w:tcPr>
        <w:p w:rsidR="00664E04" w:rsidRDefault="00664E04" w:rsidP="00CD5F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CD5FC0">
      <w:trPr>
        <w:trHeight w:hRule="exact" w:val="227"/>
      </w:trPr>
      <w:tc>
        <w:tcPr>
          <w:tcW w:w="9356" w:type="dxa"/>
          <w:gridSpan w:val="6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227"/>
      </w:trPr>
      <w:tc>
        <w:tcPr>
          <w:tcW w:w="2762" w:type="dxa"/>
          <w:vMerge w:val="restart"/>
          <w:vAlign w:val="center"/>
        </w:tcPr>
        <w:p w:rsidR="00664E04" w:rsidRDefault="00A20B8F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976F5E1" wp14:editId="03C387DE">
                <wp:extent cx="1661709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hlkampffinanzierung-us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664E04" w:rsidRDefault="00664E04" w:rsidP="00CD5F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664E04" w:rsidTr="00CD5FC0">
      <w:trPr>
        <w:trHeight w:hRule="exact" w:val="454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664E04" w:rsidRPr="00A20B8F" w:rsidRDefault="004A7AA0" w:rsidP="00EB571C">
          <w:pPr>
            <w:pStyle w:val="Kopfzeile"/>
            <w:rPr>
              <w:rFonts w:ascii="Arial" w:hAnsi="Arial"/>
              <w:b/>
              <w:szCs w:val="22"/>
            </w:rPr>
          </w:pPr>
          <w:r w:rsidRPr="00A20B8F">
            <w:rPr>
              <w:rFonts w:ascii="Arial" w:hAnsi="Arial"/>
              <w:b/>
              <w:szCs w:val="22"/>
            </w:rPr>
            <w:t>Geld und Politik</w:t>
          </w:r>
        </w:p>
      </w:tc>
    </w:tr>
    <w:tr w:rsidR="00664E04" w:rsidTr="00A20B8F">
      <w:trPr>
        <w:trHeight w:hRule="exact" w:val="811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664E04" w:rsidRPr="00566D69" w:rsidRDefault="00A20B8F" w:rsidP="00A20B8F">
          <w:pPr>
            <w:pStyle w:val="Kopfzeile"/>
            <w:rPr>
              <w:sz w:val="18"/>
              <w:szCs w:val="18"/>
            </w:rPr>
          </w:pPr>
          <w:r w:rsidRPr="004A05C4">
            <w:rPr>
              <w:rFonts w:ascii="Arial" w:hAnsi="Arial"/>
              <w:sz w:val="16"/>
            </w:rPr>
            <w:t>US-Wa</w:t>
          </w:r>
          <w:r>
            <w:rPr>
              <w:rFonts w:ascii="Arial" w:hAnsi="Arial"/>
              <w:sz w:val="16"/>
            </w:rPr>
            <w:t xml:space="preserve">hlkampf 2012 (ECO, 15.10.2012) </w:t>
          </w:r>
          <w:r w:rsidRPr="004A05C4">
            <w:rPr>
              <w:rFonts w:ascii="Arial" w:hAnsi="Arial"/>
              <w:sz w:val="16"/>
            </w:rPr>
            <w:t>26:04 min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107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93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076FA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B1B25"/>
    <w:rsid w:val="000B7030"/>
    <w:rsid w:val="000B73FE"/>
    <w:rsid w:val="000C21CF"/>
    <w:rsid w:val="000C56D2"/>
    <w:rsid w:val="000F750F"/>
    <w:rsid w:val="00101A8C"/>
    <w:rsid w:val="00101BE1"/>
    <w:rsid w:val="0011371C"/>
    <w:rsid w:val="00114139"/>
    <w:rsid w:val="001176D3"/>
    <w:rsid w:val="00143CB8"/>
    <w:rsid w:val="00143D26"/>
    <w:rsid w:val="001467F6"/>
    <w:rsid w:val="00150F69"/>
    <w:rsid w:val="00166279"/>
    <w:rsid w:val="00180A2A"/>
    <w:rsid w:val="00195A0E"/>
    <w:rsid w:val="001A3224"/>
    <w:rsid w:val="001B3C76"/>
    <w:rsid w:val="001B77E2"/>
    <w:rsid w:val="002049FF"/>
    <w:rsid w:val="002338AA"/>
    <w:rsid w:val="00233B2B"/>
    <w:rsid w:val="00233B90"/>
    <w:rsid w:val="00244868"/>
    <w:rsid w:val="002475B6"/>
    <w:rsid w:val="00253F37"/>
    <w:rsid w:val="00255804"/>
    <w:rsid w:val="002558F8"/>
    <w:rsid w:val="00257F9B"/>
    <w:rsid w:val="0028586C"/>
    <w:rsid w:val="00291A61"/>
    <w:rsid w:val="002C6B1D"/>
    <w:rsid w:val="002C6DBD"/>
    <w:rsid w:val="002D00AC"/>
    <w:rsid w:val="002E077C"/>
    <w:rsid w:val="002E4986"/>
    <w:rsid w:val="00323D0D"/>
    <w:rsid w:val="00330A77"/>
    <w:rsid w:val="003429F6"/>
    <w:rsid w:val="003601B9"/>
    <w:rsid w:val="0037009E"/>
    <w:rsid w:val="00380429"/>
    <w:rsid w:val="00384482"/>
    <w:rsid w:val="00386693"/>
    <w:rsid w:val="003B7E23"/>
    <w:rsid w:val="003D3134"/>
    <w:rsid w:val="003D6D50"/>
    <w:rsid w:val="003E7FF0"/>
    <w:rsid w:val="003F6BE6"/>
    <w:rsid w:val="00410447"/>
    <w:rsid w:val="00415BC5"/>
    <w:rsid w:val="00424DB8"/>
    <w:rsid w:val="004318F3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A7AA0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149F7"/>
    <w:rsid w:val="00516997"/>
    <w:rsid w:val="00530FAB"/>
    <w:rsid w:val="00543A6C"/>
    <w:rsid w:val="005503DB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1864"/>
    <w:rsid w:val="00614018"/>
    <w:rsid w:val="00633DBC"/>
    <w:rsid w:val="006524D0"/>
    <w:rsid w:val="00661563"/>
    <w:rsid w:val="00664426"/>
    <w:rsid w:val="00664E04"/>
    <w:rsid w:val="00667D87"/>
    <w:rsid w:val="006765E0"/>
    <w:rsid w:val="006837EB"/>
    <w:rsid w:val="006917D5"/>
    <w:rsid w:val="00695AC4"/>
    <w:rsid w:val="00696D22"/>
    <w:rsid w:val="006A0C06"/>
    <w:rsid w:val="006A3A72"/>
    <w:rsid w:val="006A4902"/>
    <w:rsid w:val="006C6C4A"/>
    <w:rsid w:val="006D1C8D"/>
    <w:rsid w:val="006E2F5F"/>
    <w:rsid w:val="006E6675"/>
    <w:rsid w:val="006E7C95"/>
    <w:rsid w:val="006F0AE2"/>
    <w:rsid w:val="006F0D16"/>
    <w:rsid w:val="0070285A"/>
    <w:rsid w:val="00702885"/>
    <w:rsid w:val="00724A6B"/>
    <w:rsid w:val="00725421"/>
    <w:rsid w:val="00727FA1"/>
    <w:rsid w:val="00766C9D"/>
    <w:rsid w:val="007710E0"/>
    <w:rsid w:val="007726EF"/>
    <w:rsid w:val="007776A8"/>
    <w:rsid w:val="00784E94"/>
    <w:rsid w:val="00790266"/>
    <w:rsid w:val="00793AB2"/>
    <w:rsid w:val="00796C17"/>
    <w:rsid w:val="007A4583"/>
    <w:rsid w:val="007A52E9"/>
    <w:rsid w:val="007B0B1A"/>
    <w:rsid w:val="007B5612"/>
    <w:rsid w:val="007B615D"/>
    <w:rsid w:val="007C1254"/>
    <w:rsid w:val="007E4FEF"/>
    <w:rsid w:val="007F5172"/>
    <w:rsid w:val="008157D9"/>
    <w:rsid w:val="00825472"/>
    <w:rsid w:val="008338DE"/>
    <w:rsid w:val="00837C30"/>
    <w:rsid w:val="00854008"/>
    <w:rsid w:val="00861C20"/>
    <w:rsid w:val="00862692"/>
    <w:rsid w:val="008638DA"/>
    <w:rsid w:val="008730DE"/>
    <w:rsid w:val="008750A5"/>
    <w:rsid w:val="008835A0"/>
    <w:rsid w:val="008B2AC2"/>
    <w:rsid w:val="008C13CF"/>
    <w:rsid w:val="008C2425"/>
    <w:rsid w:val="008C3464"/>
    <w:rsid w:val="008E4517"/>
    <w:rsid w:val="008E6883"/>
    <w:rsid w:val="008E6B2D"/>
    <w:rsid w:val="0090365D"/>
    <w:rsid w:val="0090687B"/>
    <w:rsid w:val="00910E06"/>
    <w:rsid w:val="00921528"/>
    <w:rsid w:val="00931A69"/>
    <w:rsid w:val="009463F4"/>
    <w:rsid w:val="0097051A"/>
    <w:rsid w:val="00973366"/>
    <w:rsid w:val="00975CC9"/>
    <w:rsid w:val="00976744"/>
    <w:rsid w:val="0098167D"/>
    <w:rsid w:val="00983443"/>
    <w:rsid w:val="0098392B"/>
    <w:rsid w:val="009949D4"/>
    <w:rsid w:val="009A2BBB"/>
    <w:rsid w:val="009B1364"/>
    <w:rsid w:val="009B7A3B"/>
    <w:rsid w:val="009C12F7"/>
    <w:rsid w:val="009C45EE"/>
    <w:rsid w:val="009E2D1C"/>
    <w:rsid w:val="009E7A31"/>
    <w:rsid w:val="009F16F3"/>
    <w:rsid w:val="00A120DD"/>
    <w:rsid w:val="00A130C7"/>
    <w:rsid w:val="00A20B8F"/>
    <w:rsid w:val="00A306EE"/>
    <w:rsid w:val="00A30917"/>
    <w:rsid w:val="00A35DAF"/>
    <w:rsid w:val="00A427DC"/>
    <w:rsid w:val="00A44367"/>
    <w:rsid w:val="00A46D74"/>
    <w:rsid w:val="00A47B59"/>
    <w:rsid w:val="00A50A9F"/>
    <w:rsid w:val="00A51962"/>
    <w:rsid w:val="00A52B69"/>
    <w:rsid w:val="00A533BC"/>
    <w:rsid w:val="00A55CC9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398C"/>
    <w:rsid w:val="00B07FF4"/>
    <w:rsid w:val="00B112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31A4"/>
    <w:rsid w:val="00B87E56"/>
    <w:rsid w:val="00BA620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37145"/>
    <w:rsid w:val="00C43BF6"/>
    <w:rsid w:val="00C52205"/>
    <w:rsid w:val="00C52408"/>
    <w:rsid w:val="00C52C83"/>
    <w:rsid w:val="00C56588"/>
    <w:rsid w:val="00C65946"/>
    <w:rsid w:val="00C66CEA"/>
    <w:rsid w:val="00C712A2"/>
    <w:rsid w:val="00C73532"/>
    <w:rsid w:val="00C75C8B"/>
    <w:rsid w:val="00C87F25"/>
    <w:rsid w:val="00C925BD"/>
    <w:rsid w:val="00C97378"/>
    <w:rsid w:val="00CA632C"/>
    <w:rsid w:val="00CA6BFD"/>
    <w:rsid w:val="00CB15CC"/>
    <w:rsid w:val="00CB26E5"/>
    <w:rsid w:val="00CB2E4A"/>
    <w:rsid w:val="00CB352B"/>
    <w:rsid w:val="00CB5C14"/>
    <w:rsid w:val="00CD29B6"/>
    <w:rsid w:val="00CD5FC0"/>
    <w:rsid w:val="00CE0655"/>
    <w:rsid w:val="00CE430A"/>
    <w:rsid w:val="00CE62FC"/>
    <w:rsid w:val="00CF3C30"/>
    <w:rsid w:val="00CF6166"/>
    <w:rsid w:val="00D02B53"/>
    <w:rsid w:val="00D06954"/>
    <w:rsid w:val="00D14C39"/>
    <w:rsid w:val="00D17217"/>
    <w:rsid w:val="00D23902"/>
    <w:rsid w:val="00D3329E"/>
    <w:rsid w:val="00D34455"/>
    <w:rsid w:val="00D37D9B"/>
    <w:rsid w:val="00D40DCD"/>
    <w:rsid w:val="00D41A91"/>
    <w:rsid w:val="00D42245"/>
    <w:rsid w:val="00D63589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B5CE5"/>
    <w:rsid w:val="00DC13CC"/>
    <w:rsid w:val="00DD166A"/>
    <w:rsid w:val="00DD2B9F"/>
    <w:rsid w:val="00DE57F4"/>
    <w:rsid w:val="00DE599F"/>
    <w:rsid w:val="00E0074C"/>
    <w:rsid w:val="00E20AF4"/>
    <w:rsid w:val="00E225E4"/>
    <w:rsid w:val="00E25EBF"/>
    <w:rsid w:val="00E311EC"/>
    <w:rsid w:val="00E35905"/>
    <w:rsid w:val="00E55362"/>
    <w:rsid w:val="00E64749"/>
    <w:rsid w:val="00E647A1"/>
    <w:rsid w:val="00E6586B"/>
    <w:rsid w:val="00E66FF5"/>
    <w:rsid w:val="00E93606"/>
    <w:rsid w:val="00E936C7"/>
    <w:rsid w:val="00EA1D38"/>
    <w:rsid w:val="00EA3E38"/>
    <w:rsid w:val="00EA4561"/>
    <w:rsid w:val="00EA73F2"/>
    <w:rsid w:val="00EB571C"/>
    <w:rsid w:val="00EC5921"/>
    <w:rsid w:val="00ED0463"/>
    <w:rsid w:val="00ED4DF3"/>
    <w:rsid w:val="00EE01AC"/>
    <w:rsid w:val="00EE2649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3DE2"/>
    <w:rsid w:val="00F464DD"/>
    <w:rsid w:val="00F547CC"/>
    <w:rsid w:val="00F6737F"/>
    <w:rsid w:val="00F92083"/>
    <w:rsid w:val="00FB168D"/>
    <w:rsid w:val="00FC189D"/>
    <w:rsid w:val="00FC199E"/>
    <w:rsid w:val="00FC6FFB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D169-B3EA-4B49-95C6-F9AE4FE9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224</Words>
  <Characters>1397</Characters>
  <Application>Microsoft Office Word</Application>
  <DocSecurity>0</DocSecurity>
  <Lines>53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1614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9</cp:revision>
  <cp:lastPrinted>2012-11-22T12:46:00Z</cp:lastPrinted>
  <dcterms:created xsi:type="dcterms:W3CDTF">2013-01-30T17:26:00Z</dcterms:created>
  <dcterms:modified xsi:type="dcterms:W3CDTF">2013-01-30T17:32:00Z</dcterms:modified>
  <cp:category>Zuma Vorlage phe</cp:category>
</cp:coreProperties>
</file>