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0" w:rsidRDefault="004C3C40" w:rsidP="004C3C40">
      <w:pPr>
        <w:pStyle w:val="Listenabsatz"/>
        <w:numPr>
          <w:ilvl w:val="0"/>
          <w:numId w:val="23"/>
        </w:numPr>
        <w:rPr>
          <w:rFonts w:ascii="Arial" w:hAnsi="Arial"/>
          <w:b/>
          <w:sz w:val="20"/>
        </w:rPr>
      </w:pPr>
      <w:r w:rsidRPr="004C3C40">
        <w:rPr>
          <w:rFonts w:ascii="Arial" w:hAnsi="Arial"/>
          <w:b/>
          <w:sz w:val="20"/>
        </w:rPr>
        <w:t xml:space="preserve">Verorte die Beispiele zu den drei Sterbeformen in einem Lebensverlauf! </w:t>
      </w:r>
    </w:p>
    <w:p w:rsidR="004C3C40" w:rsidRDefault="004C3C40" w:rsidP="002E2750">
      <w:pPr>
        <w:rPr>
          <w:rFonts w:ascii="Arial" w:hAnsi="Arial"/>
          <w:b/>
          <w:sz w:val="20"/>
        </w:rPr>
      </w:pPr>
    </w:p>
    <w:p w:rsidR="005F2E73" w:rsidRDefault="00B05C58" w:rsidP="004C3C40">
      <w:pPr>
        <w:rPr>
          <w:rFonts w:ascii="Arial" w:hAnsi="Arial"/>
          <w:noProof/>
          <w:sz w:val="20"/>
          <w:lang w:eastAsia="de-CH"/>
        </w:rPr>
      </w:pPr>
      <w:r>
        <w:rPr>
          <w:rFonts w:ascii="Arial" w:hAnsi="Arial"/>
          <w:noProof/>
          <w:sz w:val="20"/>
          <w:lang w:eastAsia="de-CH"/>
        </w:rPr>
        <w:t>Exemplarische Lösung:</w:t>
      </w:r>
    </w:p>
    <w:p w:rsidR="006A424C" w:rsidRDefault="006A424C" w:rsidP="004C3C40">
      <w:pPr>
        <w:rPr>
          <w:rFonts w:ascii="Arial" w:hAnsi="Arial"/>
          <w:noProof/>
          <w:sz w:val="20"/>
          <w:lang w:eastAsia="de-CH"/>
        </w:rPr>
      </w:pPr>
    </w:p>
    <w:p w:rsidR="00B05C58" w:rsidRDefault="00B05C58" w:rsidP="004C3C40">
      <w:pPr>
        <w:rPr>
          <w:rFonts w:ascii="Arial" w:hAnsi="Arial"/>
          <w:noProof/>
          <w:sz w:val="20"/>
          <w:lang w:eastAsia="de-CH"/>
        </w:rPr>
      </w:pPr>
    </w:p>
    <w:p w:rsidR="00B05C58" w:rsidRDefault="00B05C58" w:rsidP="004C3C40">
      <w:pPr>
        <w:rPr>
          <w:rFonts w:ascii="Arial" w:hAnsi="Arial"/>
          <w:noProof/>
          <w:sz w:val="20"/>
          <w:lang w:eastAsia="de-CH"/>
        </w:rPr>
      </w:pPr>
      <w:r>
        <w:rPr>
          <w:rFonts w:ascii="Arial" w:hAnsi="Arial"/>
          <w:noProof/>
          <w:sz w:val="20"/>
          <w:lang w:eastAsia="de-CH"/>
        </w:rPr>
        <w:drawing>
          <wp:inline distT="0" distB="0" distL="0" distR="0">
            <wp:extent cx="5760720" cy="2483485"/>
            <wp:effectExtent l="19050" t="0" r="0" b="0"/>
            <wp:docPr id="3" name="Grafik 2" descr="AB 1.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 1.2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58" w:rsidRDefault="00B05C58" w:rsidP="004C3C40">
      <w:pPr>
        <w:rPr>
          <w:rFonts w:ascii="Arial" w:hAnsi="Arial"/>
          <w:noProof/>
          <w:sz w:val="20"/>
          <w:lang w:eastAsia="de-CH"/>
        </w:rPr>
      </w:pPr>
    </w:p>
    <w:p w:rsidR="00B05C58" w:rsidRDefault="00B05C58" w:rsidP="004C3C40">
      <w:pPr>
        <w:rPr>
          <w:rFonts w:ascii="Arial" w:hAnsi="Arial"/>
          <w:noProof/>
          <w:sz w:val="20"/>
          <w:lang w:eastAsia="de-CH"/>
        </w:rPr>
      </w:pPr>
    </w:p>
    <w:p w:rsidR="00B05C58" w:rsidRDefault="00B05C58" w:rsidP="004C3C40">
      <w:pPr>
        <w:rPr>
          <w:rFonts w:ascii="Arial" w:hAnsi="Arial"/>
          <w:noProof/>
          <w:sz w:val="20"/>
          <w:lang w:eastAsia="de-CH"/>
        </w:rPr>
      </w:pPr>
    </w:p>
    <w:p w:rsidR="00B05C58" w:rsidRDefault="00B05C58" w:rsidP="004C3C40">
      <w:pPr>
        <w:rPr>
          <w:rFonts w:ascii="Arial" w:hAnsi="Arial"/>
          <w:noProof/>
          <w:sz w:val="20"/>
          <w:lang w:eastAsia="de-CH"/>
        </w:rPr>
      </w:pPr>
    </w:p>
    <w:p w:rsidR="00B05C58" w:rsidRDefault="00B05C58" w:rsidP="004C3C40">
      <w:pPr>
        <w:rPr>
          <w:rFonts w:ascii="Arial" w:hAnsi="Arial"/>
          <w:noProof/>
          <w:sz w:val="20"/>
          <w:lang w:eastAsia="de-CH"/>
        </w:rPr>
      </w:pPr>
    </w:p>
    <w:p w:rsidR="00B05C58" w:rsidRDefault="00B05C58" w:rsidP="004C3C40">
      <w:pPr>
        <w:rPr>
          <w:rFonts w:ascii="Arial" w:hAnsi="Arial"/>
          <w:sz w:val="20"/>
        </w:rPr>
      </w:pPr>
    </w:p>
    <w:p w:rsidR="004C3C40" w:rsidRPr="004C3C40" w:rsidRDefault="004C3C40" w:rsidP="004C3C40">
      <w:pPr>
        <w:pStyle w:val="Listenabsatz"/>
        <w:numPr>
          <w:ilvl w:val="0"/>
          <w:numId w:val="23"/>
        </w:numPr>
        <w:rPr>
          <w:rFonts w:ascii="Arial" w:hAnsi="Arial"/>
          <w:b/>
          <w:sz w:val="20"/>
        </w:rPr>
      </w:pPr>
      <w:r w:rsidRPr="004C3C40">
        <w:rPr>
          <w:rFonts w:ascii="Arial" w:hAnsi="Arial"/>
          <w:b/>
          <w:sz w:val="20"/>
        </w:rPr>
        <w:t>Was lässt sich zum Verhältnis von Leben und Sterben/Tod feststellen?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br/>
        <w:t>Erkläre dabei auch die gestrichelten Linien!</w:t>
      </w:r>
    </w:p>
    <w:p w:rsidR="008D1AED" w:rsidRDefault="008D1AED" w:rsidP="004C3C40">
      <w:pPr>
        <w:rPr>
          <w:rFonts w:ascii="Arial" w:hAnsi="Arial"/>
          <w:sz w:val="20"/>
        </w:rPr>
      </w:pPr>
    </w:p>
    <w:p w:rsidR="00B05C58" w:rsidRDefault="00B05C58" w:rsidP="004C3C40">
      <w:pPr>
        <w:rPr>
          <w:rFonts w:ascii="Arial" w:hAnsi="Arial"/>
          <w:sz w:val="20"/>
        </w:rPr>
      </w:pPr>
    </w:p>
    <w:p w:rsidR="003A1557" w:rsidRDefault="003A1557" w:rsidP="004C3C4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Schon zu Lebzeiten stirbt etwas im Menschen – und zwar immer wieder.</w:t>
      </w:r>
    </w:p>
    <w:p w:rsidR="00B05C58" w:rsidRDefault="00B05C58" w:rsidP="004C3C4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Nach seinem physischen Tod kann ein Mensch noch einmal sterben – nämlich sozial durch das Erl</w:t>
      </w:r>
      <w:r>
        <w:rPr>
          <w:rFonts w:ascii="Arial" w:hAnsi="Arial"/>
          <w:sz w:val="20"/>
        </w:rPr>
        <w:t>ö</w:t>
      </w:r>
      <w:r>
        <w:rPr>
          <w:rFonts w:ascii="Arial" w:hAnsi="Arial"/>
          <w:sz w:val="20"/>
        </w:rPr>
        <w:t>schen der Erinnerung an diesen Menschen.</w:t>
      </w:r>
    </w:p>
    <w:p w:rsidR="003A1557" w:rsidRDefault="003A1557" w:rsidP="004C3C40">
      <w:pPr>
        <w:rPr>
          <w:rFonts w:ascii="Arial" w:hAnsi="Arial"/>
          <w:sz w:val="20"/>
        </w:rPr>
      </w:pPr>
    </w:p>
    <w:p w:rsidR="00E03857" w:rsidRDefault="00E03857" w:rsidP="004C3C40">
      <w:pPr>
        <w:rPr>
          <w:rFonts w:ascii="Arial" w:hAnsi="Arial"/>
          <w:sz w:val="20"/>
        </w:rPr>
      </w:pPr>
    </w:p>
    <w:p w:rsidR="00B05C58" w:rsidRDefault="00B05C58" w:rsidP="004C3C40">
      <w:pPr>
        <w:rPr>
          <w:rFonts w:ascii="Arial" w:hAnsi="Arial"/>
          <w:sz w:val="20"/>
        </w:rPr>
      </w:pPr>
    </w:p>
    <w:p w:rsidR="003A1557" w:rsidRDefault="003A1557" w:rsidP="004C3C4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Gestrichelte Linie vor der Geburt: Verweis auf die Vorstellung</w:t>
      </w:r>
      <w:r w:rsidR="00E03857">
        <w:rPr>
          <w:rFonts w:ascii="Arial" w:hAnsi="Arial"/>
          <w:sz w:val="20"/>
        </w:rPr>
        <w:t>en</w:t>
      </w:r>
      <w:r>
        <w:rPr>
          <w:rFonts w:ascii="Arial" w:hAnsi="Arial"/>
          <w:sz w:val="20"/>
        </w:rPr>
        <w:t xml:space="preserve"> </w:t>
      </w:r>
      <w:r w:rsidR="00E03857">
        <w:rPr>
          <w:rFonts w:ascii="Arial" w:hAnsi="Arial"/>
          <w:sz w:val="20"/>
        </w:rPr>
        <w:t xml:space="preserve">zu </w:t>
      </w:r>
      <w:r>
        <w:rPr>
          <w:rFonts w:ascii="Arial" w:hAnsi="Arial"/>
          <w:sz w:val="20"/>
        </w:rPr>
        <w:t>Wiedergeburt</w:t>
      </w:r>
    </w:p>
    <w:p w:rsidR="000F6522" w:rsidRDefault="000F6522" w:rsidP="004C3C40">
      <w:pPr>
        <w:rPr>
          <w:rFonts w:ascii="Arial" w:hAnsi="Arial"/>
          <w:sz w:val="20"/>
        </w:rPr>
      </w:pPr>
    </w:p>
    <w:p w:rsidR="00E03857" w:rsidRDefault="00E03857" w:rsidP="004C3C40">
      <w:pPr>
        <w:rPr>
          <w:rFonts w:ascii="Arial" w:hAnsi="Arial"/>
          <w:sz w:val="20"/>
        </w:rPr>
      </w:pPr>
    </w:p>
    <w:p w:rsidR="008D1AED" w:rsidRPr="008D1AED" w:rsidRDefault="003A1557" w:rsidP="008D1AED">
      <w:pPr>
        <w:tabs>
          <w:tab w:val="left" w:pos="654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G</w:t>
      </w:r>
      <w:r w:rsidR="008D1AED">
        <w:rPr>
          <w:rFonts w:ascii="Arial" w:hAnsi="Arial"/>
          <w:sz w:val="20"/>
        </w:rPr>
        <w:t xml:space="preserve">estrichelte Linie nach </w:t>
      </w:r>
      <w:r>
        <w:rPr>
          <w:rFonts w:ascii="Arial" w:hAnsi="Arial"/>
          <w:sz w:val="20"/>
        </w:rPr>
        <w:t>der Bestattung: V</w:t>
      </w:r>
      <w:r w:rsidR="008D1AED">
        <w:rPr>
          <w:rFonts w:ascii="Arial" w:hAnsi="Arial"/>
          <w:sz w:val="20"/>
        </w:rPr>
        <w:t>erweist auf die Möglichkeit</w:t>
      </w:r>
      <w:r>
        <w:rPr>
          <w:rFonts w:ascii="Arial" w:hAnsi="Arial"/>
          <w:sz w:val="20"/>
        </w:rPr>
        <w:t>en</w:t>
      </w:r>
      <w:r w:rsidR="008D1AED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(a) </w:t>
      </w:r>
      <w:r w:rsidR="008D1AED">
        <w:rPr>
          <w:rFonts w:ascii="Arial" w:hAnsi="Arial"/>
          <w:sz w:val="20"/>
        </w:rPr>
        <w:t xml:space="preserve">dass das soziale Leben mit dem Exitus </w:t>
      </w:r>
      <w:r>
        <w:rPr>
          <w:rFonts w:ascii="Arial" w:hAnsi="Arial"/>
          <w:sz w:val="20"/>
        </w:rPr>
        <w:t>nicht beendet sein muss, wenn z.B. die Familie die Erinnerung an die Verstorbenen wac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hält oder (b) dass bei einer Organspende ein Stück des eigenen Lebens weitergeführt wird.</w:t>
      </w:r>
      <w:r w:rsidR="00E03857">
        <w:rPr>
          <w:rFonts w:ascii="Arial" w:hAnsi="Arial"/>
          <w:sz w:val="20"/>
        </w:rPr>
        <w:t xml:space="preserve"> </w:t>
      </w:r>
    </w:p>
    <w:sectPr w:rsidR="008D1AED" w:rsidRPr="008D1AED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A1" w:rsidRDefault="008269A1">
      <w:r>
        <w:separator/>
      </w:r>
    </w:p>
  </w:endnote>
  <w:endnote w:type="continuationSeparator" w:id="0">
    <w:p w:rsidR="008269A1" w:rsidRDefault="0082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A" w:rsidRDefault="00BA0E2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202F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202F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05C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55585" w:rsidRPr="00A5558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202F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  <w:bookmarkStart w:id="2" w:name="_GoBack"/>
          <w:bookmarkEnd w:id="2"/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202F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5558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55585" w:rsidRPr="00A5558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A1" w:rsidRDefault="008269A1">
      <w:r>
        <w:separator/>
      </w:r>
    </w:p>
  </w:footnote>
  <w:footnote w:type="continuationSeparator" w:id="0">
    <w:p w:rsidR="008269A1" w:rsidRDefault="00826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A" w:rsidRDefault="00BA0E2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076DA9">
            <w:rPr>
              <w:rFonts w:ascii="Arial" w:hAnsi="Arial"/>
              <w:b/>
              <w:sz w:val="24"/>
              <w:szCs w:val="24"/>
            </w:rPr>
            <w:t>1.</w:t>
          </w:r>
          <w:r w:rsidR="00BA0E2A">
            <w:rPr>
              <w:rFonts w:ascii="Arial" w:hAnsi="Arial"/>
              <w:b/>
              <w:sz w:val="24"/>
              <w:szCs w:val="24"/>
            </w:rPr>
            <w:t>2</w:t>
          </w:r>
        </w:p>
        <w:p w:rsidR="008B5D54" w:rsidRPr="002D01FD" w:rsidRDefault="00913A89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0F6522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Sterben und Tod im Lebensverlauf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076DA9">
            <w:rPr>
              <w:rFonts w:ascii="Arial" w:hAnsi="Arial"/>
              <w:b/>
              <w:sz w:val="24"/>
              <w:szCs w:val="24"/>
            </w:rPr>
            <w:t>1.</w:t>
          </w:r>
          <w:r w:rsidR="00D30191">
            <w:rPr>
              <w:rFonts w:ascii="Arial" w:hAnsi="Arial"/>
              <w:b/>
              <w:sz w:val="24"/>
              <w:szCs w:val="24"/>
            </w:rPr>
            <w:t>2</w:t>
          </w:r>
        </w:p>
        <w:p w:rsidR="008B5D54" w:rsidRPr="002D01FD" w:rsidRDefault="00E03857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227"/>
      </w:trPr>
      <w:tc>
        <w:tcPr>
          <w:tcW w:w="2762" w:type="dxa"/>
          <w:vMerge w:val="restart"/>
          <w:shd w:val="clear" w:color="auto" w:fill="FFFF00"/>
          <w:vAlign w:val="center"/>
        </w:tcPr>
        <w:p w:rsidR="00F70D14" w:rsidRPr="005301DE" w:rsidRDefault="00F70D14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bookmarkStart w:id="0" w:name="Bild_Kopfzeile"/>
          <w:r w:rsidRPr="005301DE">
            <w:rPr>
              <w:rFonts w:ascii="Arial" w:hAnsi="Arial"/>
              <w:b/>
              <w:sz w:val="30"/>
              <w:szCs w:val="30"/>
            </w:rPr>
            <w:t>Bild</w:t>
          </w:r>
          <w:bookmarkEnd w:id="0"/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230DFC">
      <w:trPr>
        <w:trHeight w:hRule="exact" w:val="567"/>
      </w:trPr>
      <w:tc>
        <w:tcPr>
          <w:tcW w:w="2762" w:type="dxa"/>
          <w:vMerge/>
          <w:shd w:val="clear" w:color="auto" w:fill="FFFF00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F929E5" w:rsidP="00F929E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Sterben und Tod im Lebensverlauf</w:t>
          </w:r>
        </w:p>
      </w:tc>
    </w:tr>
    <w:tr w:rsidR="00F70D14" w:rsidTr="00230DFC">
      <w:trPr>
        <w:trHeight w:hRule="exact" w:val="680"/>
      </w:trPr>
      <w:tc>
        <w:tcPr>
          <w:tcW w:w="2762" w:type="dxa"/>
          <w:vMerge/>
          <w:shd w:val="clear" w:color="auto" w:fill="FFFF00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F70D14" w:rsidP="00230DFC">
          <w:pPr>
            <w:pStyle w:val="Kopfzeile"/>
            <w:rPr>
              <w:sz w:val="18"/>
              <w:szCs w:val="18"/>
            </w:rPr>
          </w:pPr>
        </w:p>
      </w:tc>
    </w:tr>
  </w:tbl>
  <w:p w:rsidR="00F70D14" w:rsidRPr="00DC0DD0" w:rsidRDefault="00F70D14" w:rsidP="00430A31">
    <w:pPr>
      <w:pStyle w:val="Kopfzeile"/>
      <w:rPr>
        <w:rFonts w:ascii="Arial" w:hAnsi="Arial"/>
        <w:sz w:val="20"/>
      </w:rPr>
    </w:pPr>
  </w:p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63DFC"/>
    <w:multiLevelType w:val="hybridMultilevel"/>
    <w:tmpl w:val="BEB26AB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9"/>
  </w:num>
  <w:num w:numId="8">
    <w:abstractNumId w:val="2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0"/>
  </w:num>
  <w:num w:numId="15">
    <w:abstractNumId w:val="17"/>
  </w:num>
  <w:num w:numId="16">
    <w:abstractNumId w:val="5"/>
  </w:num>
  <w:num w:numId="17">
    <w:abstractNumId w:val="22"/>
  </w:num>
  <w:num w:numId="18">
    <w:abstractNumId w:val="12"/>
  </w:num>
  <w:num w:numId="19">
    <w:abstractNumId w:val="7"/>
  </w:num>
  <w:num w:numId="20">
    <w:abstractNumId w:val="13"/>
  </w:num>
  <w:num w:numId="21">
    <w:abstractNumId w:val="8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9698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17DA"/>
    <w:rsid w:val="00012008"/>
    <w:rsid w:val="00034C0B"/>
    <w:rsid w:val="0004298A"/>
    <w:rsid w:val="00046687"/>
    <w:rsid w:val="000508C4"/>
    <w:rsid w:val="000542A1"/>
    <w:rsid w:val="00054A08"/>
    <w:rsid w:val="00056661"/>
    <w:rsid w:val="00060C64"/>
    <w:rsid w:val="00065561"/>
    <w:rsid w:val="00071CAA"/>
    <w:rsid w:val="00073AB1"/>
    <w:rsid w:val="00076DA9"/>
    <w:rsid w:val="000819E5"/>
    <w:rsid w:val="0008330E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E0DA6"/>
    <w:rsid w:val="000F6522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E1320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82A56"/>
    <w:rsid w:val="00293E12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54AFD"/>
    <w:rsid w:val="00362BEB"/>
    <w:rsid w:val="00367A3B"/>
    <w:rsid w:val="00383231"/>
    <w:rsid w:val="00386693"/>
    <w:rsid w:val="003944BE"/>
    <w:rsid w:val="003A1557"/>
    <w:rsid w:val="003C1B9D"/>
    <w:rsid w:val="003D05EC"/>
    <w:rsid w:val="003D4A61"/>
    <w:rsid w:val="003E371A"/>
    <w:rsid w:val="003E7DD1"/>
    <w:rsid w:val="00410E4C"/>
    <w:rsid w:val="004162E1"/>
    <w:rsid w:val="00430A31"/>
    <w:rsid w:val="0044293F"/>
    <w:rsid w:val="00442A37"/>
    <w:rsid w:val="00452150"/>
    <w:rsid w:val="004617BB"/>
    <w:rsid w:val="004617DA"/>
    <w:rsid w:val="00461BF0"/>
    <w:rsid w:val="00480092"/>
    <w:rsid w:val="00483BAA"/>
    <w:rsid w:val="00485C23"/>
    <w:rsid w:val="00497544"/>
    <w:rsid w:val="004B6E8A"/>
    <w:rsid w:val="004C3C40"/>
    <w:rsid w:val="004D49D5"/>
    <w:rsid w:val="004E267D"/>
    <w:rsid w:val="004E5D66"/>
    <w:rsid w:val="0050005B"/>
    <w:rsid w:val="00502146"/>
    <w:rsid w:val="0051442B"/>
    <w:rsid w:val="00516997"/>
    <w:rsid w:val="0052112C"/>
    <w:rsid w:val="00524D01"/>
    <w:rsid w:val="00524DCA"/>
    <w:rsid w:val="00525122"/>
    <w:rsid w:val="005301DE"/>
    <w:rsid w:val="00536DC1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C2DBC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A424C"/>
    <w:rsid w:val="006A4F3F"/>
    <w:rsid w:val="006B6B4C"/>
    <w:rsid w:val="006C411C"/>
    <w:rsid w:val="006D1156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C06FF"/>
    <w:rsid w:val="007D0F0A"/>
    <w:rsid w:val="007D6281"/>
    <w:rsid w:val="007F47DB"/>
    <w:rsid w:val="007F4A2E"/>
    <w:rsid w:val="007F5172"/>
    <w:rsid w:val="007F5CA3"/>
    <w:rsid w:val="00811096"/>
    <w:rsid w:val="008269A1"/>
    <w:rsid w:val="00837C30"/>
    <w:rsid w:val="00852795"/>
    <w:rsid w:val="00854008"/>
    <w:rsid w:val="00854AFE"/>
    <w:rsid w:val="00860E34"/>
    <w:rsid w:val="008730DE"/>
    <w:rsid w:val="008844A8"/>
    <w:rsid w:val="00886FBC"/>
    <w:rsid w:val="00893107"/>
    <w:rsid w:val="00896B47"/>
    <w:rsid w:val="008B183D"/>
    <w:rsid w:val="008B2AC2"/>
    <w:rsid w:val="008B5D54"/>
    <w:rsid w:val="008B6058"/>
    <w:rsid w:val="008C11E6"/>
    <w:rsid w:val="008C2425"/>
    <w:rsid w:val="008C6C31"/>
    <w:rsid w:val="008D031B"/>
    <w:rsid w:val="008D1AED"/>
    <w:rsid w:val="008E3FCC"/>
    <w:rsid w:val="008F3811"/>
    <w:rsid w:val="009103CC"/>
    <w:rsid w:val="00913A89"/>
    <w:rsid w:val="00923690"/>
    <w:rsid w:val="00925AAD"/>
    <w:rsid w:val="00927027"/>
    <w:rsid w:val="00931D97"/>
    <w:rsid w:val="009362F4"/>
    <w:rsid w:val="00937B92"/>
    <w:rsid w:val="009410D2"/>
    <w:rsid w:val="009463F4"/>
    <w:rsid w:val="00951C3A"/>
    <w:rsid w:val="00953C86"/>
    <w:rsid w:val="009660BF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55585"/>
    <w:rsid w:val="00A601D7"/>
    <w:rsid w:val="00A628C7"/>
    <w:rsid w:val="00A74D0C"/>
    <w:rsid w:val="00A82058"/>
    <w:rsid w:val="00A97938"/>
    <w:rsid w:val="00AB4557"/>
    <w:rsid w:val="00AB76C5"/>
    <w:rsid w:val="00AC0C3D"/>
    <w:rsid w:val="00AC29C1"/>
    <w:rsid w:val="00AC7551"/>
    <w:rsid w:val="00AD4CA7"/>
    <w:rsid w:val="00AF5072"/>
    <w:rsid w:val="00B05C58"/>
    <w:rsid w:val="00B06DE7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1A99"/>
    <w:rsid w:val="00B62D9B"/>
    <w:rsid w:val="00B76D1B"/>
    <w:rsid w:val="00B87E56"/>
    <w:rsid w:val="00B93C9F"/>
    <w:rsid w:val="00BA0E2A"/>
    <w:rsid w:val="00BB2564"/>
    <w:rsid w:val="00BB7788"/>
    <w:rsid w:val="00BD356A"/>
    <w:rsid w:val="00BD7AF9"/>
    <w:rsid w:val="00BF1D68"/>
    <w:rsid w:val="00C100C3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1CAA"/>
    <w:rsid w:val="00C65946"/>
    <w:rsid w:val="00C712A2"/>
    <w:rsid w:val="00C75C8B"/>
    <w:rsid w:val="00C86B6E"/>
    <w:rsid w:val="00C97378"/>
    <w:rsid w:val="00CA50BD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4AA1"/>
    <w:rsid w:val="00D06954"/>
    <w:rsid w:val="00D13029"/>
    <w:rsid w:val="00D14A49"/>
    <w:rsid w:val="00D30191"/>
    <w:rsid w:val="00D30B94"/>
    <w:rsid w:val="00D30DFC"/>
    <w:rsid w:val="00D31261"/>
    <w:rsid w:val="00D34455"/>
    <w:rsid w:val="00D359A5"/>
    <w:rsid w:val="00D45DAD"/>
    <w:rsid w:val="00D55F92"/>
    <w:rsid w:val="00D60AEC"/>
    <w:rsid w:val="00D63433"/>
    <w:rsid w:val="00D74686"/>
    <w:rsid w:val="00D74C30"/>
    <w:rsid w:val="00D77DF1"/>
    <w:rsid w:val="00D80548"/>
    <w:rsid w:val="00D80E9D"/>
    <w:rsid w:val="00D813C7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D3CC2"/>
    <w:rsid w:val="00DE47B7"/>
    <w:rsid w:val="00DE57F4"/>
    <w:rsid w:val="00E03857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2257"/>
    <w:rsid w:val="00EC53C9"/>
    <w:rsid w:val="00EC5921"/>
    <w:rsid w:val="00ED0463"/>
    <w:rsid w:val="00ED5CFC"/>
    <w:rsid w:val="00EE3B5F"/>
    <w:rsid w:val="00EF6A64"/>
    <w:rsid w:val="00F16CD2"/>
    <w:rsid w:val="00F202FF"/>
    <w:rsid w:val="00F4561F"/>
    <w:rsid w:val="00F45B96"/>
    <w:rsid w:val="00F47E7F"/>
    <w:rsid w:val="00F529B0"/>
    <w:rsid w:val="00F532DE"/>
    <w:rsid w:val="00F5443B"/>
    <w:rsid w:val="00F547CC"/>
    <w:rsid w:val="00F61328"/>
    <w:rsid w:val="00F640CE"/>
    <w:rsid w:val="00F70D14"/>
    <w:rsid w:val="00F73C5C"/>
    <w:rsid w:val="00F767B2"/>
    <w:rsid w:val="00F905C6"/>
    <w:rsid w:val="00F92083"/>
    <w:rsid w:val="00F929E5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customStyle="1" w:styleId="HelleSchattierung1">
    <w:name w:val="Helle Schattierung1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60C6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3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31D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rnd\Dropbox\Schule%20und%20Unterricht\UM%20Death%20-%20a%20series%20about%20life\Unterrichtsmaterial\srf.ch\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\Dropbox\Schule%20und%20Unterricht\um%20death%20-%20a%20series%20about%20life\unterrichtsmaterial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3707-DC9D-4D66-B489-AC8BE17B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802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Arnd Brandl</dc:creator>
  <cp:lastModifiedBy>Arnd Brandl</cp:lastModifiedBy>
  <cp:revision>11</cp:revision>
  <cp:lastPrinted>2014-12-16T12:24:00Z</cp:lastPrinted>
  <dcterms:created xsi:type="dcterms:W3CDTF">2014-12-15T20:02:00Z</dcterms:created>
  <dcterms:modified xsi:type="dcterms:W3CDTF">2014-12-16T12:25:00Z</dcterms:modified>
  <cp:category>Zuma Vorlage phe</cp:category>
</cp:coreProperties>
</file>