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7" w:type="dxa"/>
        <w:tblInd w:w="-170" w:type="dxa"/>
        <w:tblLook w:val="04A0" w:firstRow="1" w:lastRow="0" w:firstColumn="1" w:lastColumn="0" w:noHBand="0" w:noVBand="1"/>
      </w:tblPr>
      <w:tblGrid>
        <w:gridCol w:w="6657"/>
        <w:gridCol w:w="3969"/>
        <w:gridCol w:w="4541"/>
      </w:tblGrid>
      <w:tr w:rsidR="005B5D46" w:rsidTr="00807D7C">
        <w:tc>
          <w:tcPr>
            <w:tcW w:w="6657" w:type="dxa"/>
            <w:tcBorders>
              <w:top w:val="nil"/>
              <w:left w:val="nil"/>
              <w:bottom w:val="nil"/>
              <w:right w:val="nil"/>
            </w:tcBorders>
          </w:tcPr>
          <w:p w:rsidR="00446B94" w:rsidRDefault="005B5D46" w:rsidP="0070736C">
            <w:pPr>
              <w:contextualSpacing/>
              <w:rPr>
                <w:rFonts w:ascii="Arial" w:hAnsi="Arial"/>
                <w:b/>
                <w:sz w:val="20"/>
              </w:rPr>
            </w:pPr>
            <w:bookmarkStart w:id="0" w:name="_GoBack"/>
            <w:bookmarkEnd w:id="0"/>
            <w:r>
              <w:rPr>
                <w:rFonts w:ascii="Arial" w:hAnsi="Arial"/>
                <w:b/>
                <w:sz w:val="20"/>
              </w:rPr>
              <w:t>Der W</w:t>
            </w:r>
            <w:r w:rsidR="00446B94">
              <w:rPr>
                <w:rFonts w:ascii="Arial" w:hAnsi="Arial"/>
                <w:b/>
                <w:sz w:val="20"/>
              </w:rPr>
              <w:t>iesensalbei und der Schlagbaum-M</w:t>
            </w:r>
            <w:r>
              <w:rPr>
                <w:rFonts w:ascii="Arial" w:hAnsi="Arial"/>
                <w:b/>
                <w:sz w:val="20"/>
              </w:rPr>
              <w:t>echanismus</w:t>
            </w:r>
          </w:p>
          <w:p w:rsidR="002A6D76" w:rsidRPr="002A6D76" w:rsidRDefault="002A6D76" w:rsidP="0070736C">
            <w:pPr>
              <w:contextualSpacing/>
              <w:rPr>
                <w:rFonts w:ascii="Arial" w:hAnsi="Arial"/>
                <w:b/>
                <w:sz w:val="20"/>
              </w:rPr>
            </w:pPr>
          </w:p>
        </w:tc>
        <w:tc>
          <w:tcPr>
            <w:tcW w:w="3969" w:type="dxa"/>
            <w:vMerge w:val="restart"/>
            <w:tcBorders>
              <w:top w:val="nil"/>
              <w:left w:val="nil"/>
              <w:right w:val="nil"/>
            </w:tcBorders>
            <w:vAlign w:val="center"/>
          </w:tcPr>
          <w:p w:rsidR="005B5D46" w:rsidRDefault="005B5D46" w:rsidP="00807D7C">
            <w:pPr>
              <w:tabs>
                <w:tab w:val="left" w:pos="11888"/>
              </w:tabs>
              <w:contextualSpacing/>
              <w:jc w:val="right"/>
            </w:pPr>
            <w:r>
              <w:rPr>
                <w:noProof/>
                <w:lang w:eastAsia="de-CH"/>
              </w:rPr>
              <w:drawing>
                <wp:inline distT="0" distB="0" distL="0" distR="0" wp14:anchorId="299B2EF0" wp14:editId="416475A5">
                  <wp:extent cx="2190524" cy="3600000"/>
                  <wp:effectExtent l="0" t="0" r="63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gbaum.jpg"/>
                          <pic:cNvPicPr/>
                        </pic:nvPicPr>
                        <pic:blipFill>
                          <a:blip r:embed="rId7">
                            <a:extLst>
                              <a:ext uri="{28A0092B-C50C-407E-A947-70E740481C1C}">
                                <a14:useLocalDpi xmlns:a14="http://schemas.microsoft.com/office/drawing/2010/main" val="0"/>
                              </a:ext>
                            </a:extLst>
                          </a:blip>
                          <a:stretch>
                            <a:fillRect/>
                          </a:stretch>
                        </pic:blipFill>
                        <pic:spPr>
                          <a:xfrm>
                            <a:off x="0" y="0"/>
                            <a:ext cx="2190524" cy="3600000"/>
                          </a:xfrm>
                          <a:prstGeom prst="rect">
                            <a:avLst/>
                          </a:prstGeom>
                        </pic:spPr>
                      </pic:pic>
                    </a:graphicData>
                  </a:graphic>
                </wp:inline>
              </w:drawing>
            </w:r>
          </w:p>
          <w:p w:rsidR="00807D7C" w:rsidRPr="00807D7C" w:rsidRDefault="00807D7C" w:rsidP="00807D7C">
            <w:pPr>
              <w:tabs>
                <w:tab w:val="left" w:pos="11888"/>
              </w:tabs>
              <w:contextualSpacing/>
              <w:jc w:val="right"/>
              <w:rPr>
                <w:rFonts w:ascii="Arial" w:hAnsi="Arial" w:cs="Arial"/>
                <w:sz w:val="16"/>
                <w:szCs w:val="16"/>
              </w:rPr>
            </w:pPr>
            <w:r w:rsidRPr="00807D7C">
              <w:rPr>
                <w:rFonts w:ascii="Arial" w:hAnsi="Arial" w:cs="Arial"/>
                <w:sz w:val="16"/>
                <w:szCs w:val="16"/>
              </w:rPr>
              <w:t>Bild: Universität Salzburg</w:t>
            </w:r>
          </w:p>
        </w:tc>
        <w:tc>
          <w:tcPr>
            <w:tcW w:w="4541" w:type="dxa"/>
            <w:vMerge w:val="restart"/>
            <w:tcBorders>
              <w:top w:val="nil"/>
              <w:left w:val="nil"/>
              <w:right w:val="nil"/>
            </w:tcBorders>
            <w:vAlign w:val="center"/>
          </w:tcPr>
          <w:p w:rsidR="00807D7C" w:rsidRDefault="005B5D46" w:rsidP="005B5D46">
            <w:pPr>
              <w:tabs>
                <w:tab w:val="left" w:pos="11888"/>
              </w:tabs>
              <w:contextualSpacing/>
              <w:jc w:val="right"/>
            </w:pPr>
            <w:r>
              <w:rPr>
                <w:noProof/>
                <w:lang w:eastAsia="de-CH"/>
              </w:rPr>
              <w:drawing>
                <wp:inline distT="0" distB="0" distL="0" distR="0" wp14:anchorId="46020738" wp14:editId="56DBC5BC">
                  <wp:extent cx="2700000" cy="3600000"/>
                  <wp:effectExtent l="0" t="0" r="571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6213298_wiesensalbe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p>
          <w:p w:rsidR="005B5D46" w:rsidRDefault="00807D7C" w:rsidP="005B5D46">
            <w:pPr>
              <w:tabs>
                <w:tab w:val="left" w:pos="11888"/>
              </w:tabs>
              <w:contextualSpacing/>
              <w:jc w:val="right"/>
            </w:pPr>
            <w:r w:rsidRPr="00807D7C">
              <w:rPr>
                <w:rFonts w:ascii="Arial" w:hAnsi="Arial" w:cs="Arial"/>
                <w:sz w:val="16"/>
                <w:szCs w:val="16"/>
              </w:rPr>
              <w:t xml:space="preserve">Bild: </w:t>
            </w:r>
            <w:proofErr w:type="spellStart"/>
            <w:r w:rsidRPr="00807D7C">
              <w:rPr>
                <w:rFonts w:ascii="Arial" w:hAnsi="Arial" w:cs="Arial"/>
                <w:sz w:val="16"/>
                <w:szCs w:val="16"/>
              </w:rPr>
              <w:t>Colourbox</w:t>
            </w:r>
            <w:proofErr w:type="spellEnd"/>
          </w:p>
        </w:tc>
      </w:tr>
      <w:tr w:rsidR="005B5D46" w:rsidTr="00446B94">
        <w:tc>
          <w:tcPr>
            <w:tcW w:w="6657" w:type="dxa"/>
            <w:tcBorders>
              <w:top w:val="nil"/>
              <w:left w:val="nil"/>
              <w:bottom w:val="nil"/>
              <w:right w:val="nil"/>
            </w:tcBorders>
          </w:tcPr>
          <w:p w:rsidR="005B5D46" w:rsidRDefault="005B5D46" w:rsidP="0070736C">
            <w:pPr>
              <w:pStyle w:val="StandardWeb"/>
              <w:contextualSpacing/>
              <w:rPr>
                <w:rFonts w:ascii="Arial" w:hAnsi="Arial" w:cs="Arial"/>
                <w:sz w:val="20"/>
                <w:szCs w:val="20"/>
              </w:rPr>
            </w:pPr>
            <w:r w:rsidRPr="005B5D46">
              <w:rPr>
                <w:rFonts w:ascii="Arial" w:hAnsi="Arial" w:cs="Arial"/>
                <w:sz w:val="20"/>
                <w:szCs w:val="20"/>
              </w:rPr>
              <w:t xml:space="preserve">Die Bestäubung der </w:t>
            </w:r>
            <w:proofErr w:type="spellStart"/>
            <w:r w:rsidRPr="005B5D46">
              <w:rPr>
                <w:rFonts w:ascii="Arial" w:hAnsi="Arial" w:cs="Arial"/>
                <w:sz w:val="20"/>
                <w:szCs w:val="20"/>
              </w:rPr>
              <w:t>zweilippigen</w:t>
            </w:r>
            <w:proofErr w:type="spellEnd"/>
            <w:r w:rsidRPr="005B5D46">
              <w:rPr>
                <w:rFonts w:ascii="Arial" w:hAnsi="Arial" w:cs="Arial"/>
                <w:sz w:val="20"/>
                <w:szCs w:val="20"/>
              </w:rPr>
              <w:t xml:space="preserve"> Salbeiblüte ist etwas Besonderes. Man nennt diese spezielle Funktion der beiden Staubblätter </w:t>
            </w:r>
            <w:r>
              <w:rPr>
                <w:rFonts w:ascii="Arial" w:hAnsi="Arial" w:cs="Arial"/>
                <w:sz w:val="20"/>
                <w:szCs w:val="20"/>
              </w:rPr>
              <w:t>«Schlagbaum</w:t>
            </w:r>
            <w:r w:rsidR="00446B94">
              <w:rPr>
                <w:rFonts w:ascii="Arial" w:hAnsi="Arial" w:cs="Arial"/>
                <w:sz w:val="20"/>
                <w:szCs w:val="20"/>
              </w:rPr>
              <w:t>-M</w:t>
            </w:r>
            <w:r>
              <w:rPr>
                <w:rFonts w:ascii="Arial" w:hAnsi="Arial" w:cs="Arial"/>
                <w:sz w:val="20"/>
                <w:szCs w:val="20"/>
              </w:rPr>
              <w:t>echanismus»</w:t>
            </w:r>
            <w:r w:rsidRPr="005B5D46">
              <w:rPr>
                <w:rFonts w:ascii="Arial" w:hAnsi="Arial" w:cs="Arial"/>
                <w:sz w:val="20"/>
                <w:szCs w:val="20"/>
              </w:rPr>
              <w:t>.</w:t>
            </w:r>
          </w:p>
          <w:p w:rsidR="0070736C" w:rsidRPr="005B5D46" w:rsidRDefault="0070736C" w:rsidP="0070736C">
            <w:pPr>
              <w:pStyle w:val="StandardWeb"/>
              <w:contextualSpacing/>
              <w:rPr>
                <w:rFonts w:ascii="Arial" w:hAnsi="Arial" w:cs="Arial"/>
                <w:sz w:val="20"/>
                <w:szCs w:val="20"/>
              </w:rPr>
            </w:pPr>
          </w:p>
          <w:p w:rsidR="005B5D46" w:rsidRPr="005B5D46" w:rsidRDefault="005B5D46" w:rsidP="0070736C">
            <w:pPr>
              <w:pStyle w:val="StandardWeb"/>
              <w:contextualSpacing/>
              <w:rPr>
                <w:rFonts w:ascii="Arial" w:hAnsi="Arial" w:cs="Arial"/>
                <w:sz w:val="20"/>
                <w:szCs w:val="20"/>
              </w:rPr>
            </w:pPr>
            <w:r w:rsidRPr="005B5D46">
              <w:rPr>
                <w:rFonts w:ascii="Arial" w:hAnsi="Arial" w:cs="Arial"/>
                <w:sz w:val="20"/>
                <w:szCs w:val="20"/>
              </w:rPr>
              <w:t>Betrachten wir einmal die Salbeiblüte im Querschnitt. Sie besteht wie eine typische Lippenblüte aus einer Ober- und Unterlippe. Die zwei lang gebogenen Staubblätter liegen direkt unter der Oberlippe. Dahinter eingekeilt, ragt der Griffel mit seinen beiden Narbenspitzen vorne aus der Oberlippe heraus. Die Staubfäden sind mit einer Platte verbunden.</w:t>
            </w:r>
          </w:p>
          <w:p w:rsidR="0070736C" w:rsidRDefault="0070736C" w:rsidP="0070736C">
            <w:pPr>
              <w:pStyle w:val="StandardWeb"/>
              <w:contextualSpacing/>
              <w:rPr>
                <w:rFonts w:ascii="Arial" w:hAnsi="Arial" w:cs="Arial"/>
                <w:sz w:val="20"/>
                <w:szCs w:val="20"/>
              </w:rPr>
            </w:pPr>
          </w:p>
          <w:p w:rsidR="0070736C" w:rsidRDefault="005B5D46" w:rsidP="0070736C">
            <w:pPr>
              <w:pStyle w:val="StandardWeb"/>
              <w:contextualSpacing/>
              <w:rPr>
                <w:rFonts w:ascii="Arial" w:hAnsi="Arial" w:cs="Arial"/>
                <w:sz w:val="20"/>
                <w:szCs w:val="20"/>
              </w:rPr>
            </w:pPr>
            <w:r w:rsidRPr="005B5D46">
              <w:rPr>
                <w:rFonts w:ascii="Arial" w:hAnsi="Arial" w:cs="Arial"/>
                <w:sz w:val="20"/>
                <w:szCs w:val="20"/>
              </w:rPr>
              <w:t>Setzt sich nun eine Hummel oder eine Biene auf die Platte, wird ein Hebelmechanismus in Gang gesetzt. Die Staubblätter senken sich herab und streifen den Blütenstaub auf den pelzigen Rücken des Insekts. Diesen Mechanismus vergleichen die Botaniker mit einem Schlagbaum (= Schranke an einer Grenze).</w:t>
            </w:r>
          </w:p>
          <w:p w:rsidR="0070736C" w:rsidRDefault="0070736C" w:rsidP="0070736C">
            <w:pPr>
              <w:pStyle w:val="StandardWeb"/>
              <w:contextualSpacing/>
              <w:rPr>
                <w:rFonts w:ascii="Arial" w:hAnsi="Arial" w:cs="Arial"/>
                <w:sz w:val="20"/>
                <w:szCs w:val="20"/>
              </w:rPr>
            </w:pPr>
          </w:p>
          <w:p w:rsidR="005B5D46" w:rsidRDefault="005B5D46" w:rsidP="0070736C">
            <w:pPr>
              <w:pStyle w:val="StandardWeb"/>
              <w:contextualSpacing/>
              <w:rPr>
                <w:rFonts w:ascii="Arial" w:hAnsi="Arial" w:cs="Arial"/>
                <w:sz w:val="20"/>
                <w:szCs w:val="20"/>
              </w:rPr>
            </w:pPr>
            <w:r w:rsidRPr="005B5D46">
              <w:rPr>
                <w:rFonts w:ascii="Arial" w:hAnsi="Arial" w:cs="Arial"/>
                <w:sz w:val="20"/>
                <w:szCs w:val="20"/>
              </w:rPr>
              <w:t>Beim Besuch der nächsten Blüte streift das Insekt den Pollen an der Narbe ab.</w:t>
            </w:r>
          </w:p>
          <w:p w:rsidR="0070736C" w:rsidRPr="005B5D46" w:rsidRDefault="0070736C" w:rsidP="0070736C">
            <w:pPr>
              <w:pStyle w:val="StandardWeb"/>
              <w:contextualSpacing/>
              <w:rPr>
                <w:rFonts w:ascii="Arial" w:hAnsi="Arial" w:cs="Arial"/>
                <w:sz w:val="20"/>
                <w:szCs w:val="20"/>
              </w:rPr>
            </w:pPr>
          </w:p>
          <w:p w:rsidR="005B5D46" w:rsidRPr="005B5D46" w:rsidRDefault="005B5D46" w:rsidP="0070736C">
            <w:pPr>
              <w:pStyle w:val="StandardWeb"/>
              <w:contextualSpacing/>
            </w:pPr>
            <w:r w:rsidRPr="005B5D46">
              <w:rPr>
                <w:rFonts w:ascii="Arial" w:hAnsi="Arial" w:cs="Arial"/>
                <w:sz w:val="20"/>
                <w:szCs w:val="20"/>
              </w:rPr>
              <w:t>Wenn nun die Hummel oder Biene am Blütengrund eines Salbeis nach Nektar sucht, muss sie ein Hindernis bewältigen. Denn die beiden Platten versperren den Weg zum Nektar. Für Hummeln und Bienen ist das kein Problem. Kleineren Insekten bleibt der Weg zum Nektar jedoch versperrt, denn sie können den Mechanismus nicht betätigen.</w:t>
            </w:r>
          </w:p>
        </w:tc>
        <w:tc>
          <w:tcPr>
            <w:tcW w:w="3969" w:type="dxa"/>
            <w:vMerge/>
            <w:tcBorders>
              <w:left w:val="nil"/>
              <w:bottom w:val="nil"/>
              <w:right w:val="nil"/>
            </w:tcBorders>
          </w:tcPr>
          <w:p w:rsidR="005B5D46" w:rsidRDefault="005B5D46" w:rsidP="005B5D46">
            <w:pPr>
              <w:tabs>
                <w:tab w:val="left" w:pos="11888"/>
              </w:tabs>
              <w:contextualSpacing/>
            </w:pPr>
          </w:p>
        </w:tc>
        <w:tc>
          <w:tcPr>
            <w:tcW w:w="4541" w:type="dxa"/>
            <w:vMerge/>
            <w:tcBorders>
              <w:left w:val="nil"/>
              <w:bottom w:val="nil"/>
              <w:right w:val="nil"/>
            </w:tcBorders>
          </w:tcPr>
          <w:p w:rsidR="005B5D46" w:rsidRDefault="005B5D46" w:rsidP="005B5D46">
            <w:pPr>
              <w:tabs>
                <w:tab w:val="left" w:pos="11888"/>
              </w:tabs>
              <w:contextualSpacing/>
            </w:pPr>
          </w:p>
        </w:tc>
      </w:tr>
      <w:tr w:rsidR="00446B94" w:rsidTr="00446B94">
        <w:tc>
          <w:tcPr>
            <w:tcW w:w="6657" w:type="dxa"/>
            <w:tcBorders>
              <w:top w:val="nil"/>
              <w:left w:val="nil"/>
              <w:bottom w:val="nil"/>
              <w:right w:val="nil"/>
            </w:tcBorders>
          </w:tcPr>
          <w:p w:rsidR="00446B94" w:rsidRPr="005B5D46" w:rsidRDefault="00446B94" w:rsidP="0070736C">
            <w:pPr>
              <w:pStyle w:val="StandardWeb"/>
              <w:contextualSpacing/>
              <w:rPr>
                <w:rFonts w:ascii="Arial" w:hAnsi="Arial" w:cs="Arial"/>
                <w:sz w:val="20"/>
                <w:szCs w:val="20"/>
              </w:rPr>
            </w:pPr>
          </w:p>
        </w:tc>
        <w:tc>
          <w:tcPr>
            <w:tcW w:w="3969" w:type="dxa"/>
            <w:tcBorders>
              <w:top w:val="nil"/>
              <w:left w:val="nil"/>
              <w:bottom w:val="nil"/>
              <w:right w:val="nil"/>
            </w:tcBorders>
          </w:tcPr>
          <w:p w:rsidR="00446B94" w:rsidRDefault="00446B94" w:rsidP="005B5D46">
            <w:pPr>
              <w:tabs>
                <w:tab w:val="left" w:pos="11888"/>
              </w:tabs>
              <w:contextualSpacing/>
            </w:pPr>
          </w:p>
        </w:tc>
        <w:tc>
          <w:tcPr>
            <w:tcW w:w="4541" w:type="dxa"/>
            <w:tcBorders>
              <w:top w:val="nil"/>
              <w:left w:val="nil"/>
              <w:bottom w:val="nil"/>
              <w:right w:val="nil"/>
            </w:tcBorders>
          </w:tcPr>
          <w:p w:rsidR="00446B94" w:rsidRDefault="00446B94" w:rsidP="005B5D46">
            <w:pPr>
              <w:tabs>
                <w:tab w:val="left" w:pos="11888"/>
              </w:tabs>
              <w:contextualSpacing/>
            </w:pPr>
          </w:p>
        </w:tc>
      </w:tr>
      <w:tr w:rsidR="00446B94" w:rsidTr="00446B94">
        <w:tc>
          <w:tcPr>
            <w:tcW w:w="6657" w:type="dxa"/>
            <w:tcBorders>
              <w:top w:val="nil"/>
              <w:left w:val="nil"/>
              <w:bottom w:val="nil"/>
              <w:right w:val="nil"/>
            </w:tcBorders>
          </w:tcPr>
          <w:p w:rsidR="0070736C" w:rsidRDefault="00446B94" w:rsidP="00390D8E">
            <w:pPr>
              <w:pStyle w:val="StandardWeb"/>
              <w:contextualSpacing/>
              <w:rPr>
                <w:rFonts w:ascii="Arial" w:hAnsi="Arial"/>
                <w:b/>
                <w:sz w:val="20"/>
              </w:rPr>
            </w:pPr>
            <w:r w:rsidRPr="00446B94">
              <w:rPr>
                <w:rFonts w:ascii="Arial" w:hAnsi="Arial" w:cs="Arial"/>
                <w:b/>
                <w:sz w:val="20"/>
                <w:szCs w:val="20"/>
              </w:rPr>
              <w:t xml:space="preserve">Experiment </w:t>
            </w:r>
            <w:r w:rsidRPr="00446B94">
              <w:rPr>
                <w:rFonts w:ascii="Arial" w:hAnsi="Arial"/>
                <w:b/>
                <w:sz w:val="20"/>
              </w:rPr>
              <w:t>Schlagbaum-Mechanismus</w:t>
            </w:r>
          </w:p>
          <w:p w:rsidR="00390D8E" w:rsidRPr="00390D8E" w:rsidRDefault="00390D8E" w:rsidP="00390D8E">
            <w:pPr>
              <w:pStyle w:val="StandardWeb"/>
              <w:contextualSpacing/>
              <w:rPr>
                <w:rFonts w:ascii="Arial" w:hAnsi="Arial"/>
                <w:b/>
                <w:sz w:val="20"/>
              </w:rPr>
            </w:pPr>
          </w:p>
        </w:tc>
        <w:tc>
          <w:tcPr>
            <w:tcW w:w="3969" w:type="dxa"/>
            <w:tcBorders>
              <w:top w:val="nil"/>
              <w:left w:val="nil"/>
              <w:bottom w:val="nil"/>
              <w:right w:val="nil"/>
            </w:tcBorders>
          </w:tcPr>
          <w:p w:rsidR="00446B94" w:rsidRDefault="00446B94" w:rsidP="005B5D46">
            <w:pPr>
              <w:tabs>
                <w:tab w:val="left" w:pos="11888"/>
              </w:tabs>
              <w:contextualSpacing/>
            </w:pPr>
          </w:p>
        </w:tc>
        <w:tc>
          <w:tcPr>
            <w:tcW w:w="4541" w:type="dxa"/>
            <w:tcBorders>
              <w:top w:val="nil"/>
              <w:left w:val="nil"/>
              <w:bottom w:val="nil"/>
              <w:right w:val="nil"/>
            </w:tcBorders>
          </w:tcPr>
          <w:p w:rsidR="00446B94" w:rsidRDefault="00446B94" w:rsidP="005B5D46">
            <w:pPr>
              <w:tabs>
                <w:tab w:val="left" w:pos="11888"/>
              </w:tabs>
              <w:contextualSpacing/>
            </w:pPr>
          </w:p>
        </w:tc>
      </w:tr>
      <w:tr w:rsidR="00446B94" w:rsidTr="00446B94">
        <w:tc>
          <w:tcPr>
            <w:tcW w:w="6657" w:type="dxa"/>
            <w:tcBorders>
              <w:top w:val="nil"/>
              <w:left w:val="nil"/>
              <w:bottom w:val="nil"/>
              <w:right w:val="nil"/>
            </w:tcBorders>
          </w:tcPr>
          <w:p w:rsidR="00446B94" w:rsidRPr="00446B94" w:rsidRDefault="00446B94" w:rsidP="00FF79EB">
            <w:pPr>
              <w:autoSpaceDE w:val="0"/>
              <w:autoSpaceDN w:val="0"/>
              <w:adjustRightInd w:val="0"/>
              <w:contextualSpacing/>
              <w:rPr>
                <w:rFonts w:ascii="Arial" w:hAnsi="Arial" w:cs="Arial"/>
                <w:sz w:val="20"/>
                <w:szCs w:val="20"/>
              </w:rPr>
            </w:pPr>
            <w:r w:rsidRPr="00446B94">
              <w:rPr>
                <w:rFonts w:ascii="Arial" w:hAnsi="Arial" w:cs="Arial"/>
                <w:sz w:val="20"/>
                <w:szCs w:val="20"/>
              </w:rPr>
              <w:t>Du kannst den Mechanismus selbst auslösen, indem du mit einem Zahnstocher</w:t>
            </w:r>
            <w:r w:rsidR="00FF79EB">
              <w:rPr>
                <w:rFonts w:ascii="Arial" w:hAnsi="Arial" w:cs="Arial"/>
                <w:sz w:val="20"/>
                <w:szCs w:val="20"/>
              </w:rPr>
              <w:t xml:space="preserve"> oder</w:t>
            </w:r>
            <w:r w:rsidRPr="00446B94">
              <w:rPr>
                <w:rFonts w:ascii="Arial" w:hAnsi="Arial" w:cs="Arial"/>
                <w:sz w:val="20"/>
                <w:szCs w:val="20"/>
              </w:rPr>
              <w:t xml:space="preserve"> Grashalm in die Blüte</w:t>
            </w:r>
            <w:r>
              <w:rPr>
                <w:rFonts w:ascii="Arial" w:hAnsi="Arial" w:cs="Arial"/>
                <w:sz w:val="20"/>
                <w:szCs w:val="20"/>
              </w:rPr>
              <w:t xml:space="preserve"> des Wiesensalbeis</w:t>
            </w:r>
            <w:r w:rsidRPr="00446B94">
              <w:rPr>
                <w:rFonts w:ascii="Arial" w:hAnsi="Arial" w:cs="Arial"/>
                <w:sz w:val="20"/>
                <w:szCs w:val="20"/>
              </w:rPr>
              <w:t xml:space="preserve"> fährst du auf die Blatte drückst. Dadurch wird der Staubbeutel herunter geschleudert. Wenn du den Grashalm</w:t>
            </w:r>
            <w:r w:rsidR="00C05C58">
              <w:rPr>
                <w:rFonts w:ascii="Arial" w:hAnsi="Arial" w:cs="Arial"/>
                <w:sz w:val="20"/>
                <w:szCs w:val="20"/>
              </w:rPr>
              <w:t xml:space="preserve"> oder Zahnstocher</w:t>
            </w:r>
            <w:r w:rsidRPr="00446B94">
              <w:rPr>
                <w:rFonts w:ascii="Arial" w:hAnsi="Arial" w:cs="Arial"/>
                <w:sz w:val="20"/>
                <w:szCs w:val="20"/>
              </w:rPr>
              <w:t xml:space="preserve"> heraus ziehst, schnellt dieser wieder hoch.</w:t>
            </w:r>
          </w:p>
        </w:tc>
        <w:tc>
          <w:tcPr>
            <w:tcW w:w="3969" w:type="dxa"/>
            <w:tcBorders>
              <w:top w:val="nil"/>
              <w:left w:val="nil"/>
              <w:bottom w:val="nil"/>
              <w:right w:val="nil"/>
            </w:tcBorders>
          </w:tcPr>
          <w:p w:rsidR="00446B94" w:rsidRDefault="00446B94" w:rsidP="005B5D46">
            <w:pPr>
              <w:tabs>
                <w:tab w:val="left" w:pos="11888"/>
              </w:tabs>
              <w:contextualSpacing/>
            </w:pPr>
          </w:p>
        </w:tc>
        <w:tc>
          <w:tcPr>
            <w:tcW w:w="4541" w:type="dxa"/>
            <w:tcBorders>
              <w:top w:val="nil"/>
              <w:left w:val="nil"/>
              <w:bottom w:val="nil"/>
              <w:right w:val="nil"/>
            </w:tcBorders>
          </w:tcPr>
          <w:p w:rsidR="00446B94" w:rsidRDefault="00446B94" w:rsidP="005B5D46">
            <w:pPr>
              <w:tabs>
                <w:tab w:val="left" w:pos="11888"/>
              </w:tabs>
              <w:contextualSpacing/>
            </w:pPr>
          </w:p>
        </w:tc>
      </w:tr>
    </w:tbl>
    <w:p w:rsidR="001D3F22" w:rsidRPr="00C22605" w:rsidRDefault="00C22605" w:rsidP="00C22605">
      <w:pPr>
        <w:tabs>
          <w:tab w:val="left" w:pos="11888"/>
        </w:tabs>
      </w:pPr>
      <w:r>
        <w:tab/>
      </w:r>
    </w:p>
    <w:sectPr w:rsidR="001D3F22" w:rsidRPr="00C22605" w:rsidSect="00E253C5">
      <w:headerReference w:type="default" r:id="rId9"/>
      <w:footerReference w:type="default" r:id="rId10"/>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A8" w:rsidRDefault="000A30A8" w:rsidP="00E253C5">
      <w:pPr>
        <w:spacing w:after="0" w:line="240" w:lineRule="auto"/>
      </w:pPr>
      <w:r>
        <w:separator/>
      </w:r>
    </w:p>
  </w:endnote>
  <w:endnote w:type="continuationSeparator" w:id="0">
    <w:p w:rsidR="000A30A8" w:rsidRDefault="000A30A8"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rsidTr="00ED50BC">
      <w:tc>
        <w:tcPr>
          <w:tcW w:w="2948" w:type="dxa"/>
          <w:shd w:val="clear" w:color="auto" w:fill="C7C0B9"/>
          <w:vAlign w:val="bottom"/>
        </w:tcPr>
        <w:p w:rsidR="000A30A8" w:rsidRPr="00E231F5" w:rsidRDefault="00D54E07" w:rsidP="000A30A8">
          <w:pPr>
            <w:pStyle w:val="Kopfzeile"/>
            <w:tabs>
              <w:tab w:val="clear" w:pos="4536"/>
              <w:tab w:val="clear" w:pos="9072"/>
            </w:tabs>
            <w:rPr>
              <w:rFonts w:ascii="Arial" w:hAnsi="Arial"/>
              <w:b/>
              <w:bCs/>
              <w:sz w:val="16"/>
              <w:szCs w:val="16"/>
            </w:rPr>
          </w:pPr>
          <w:hyperlink r:id="rId1" w:history="1">
            <w:r w:rsidR="00BF7148" w:rsidRPr="00CA2B54">
              <w:rPr>
                <w:rStyle w:val="Hyperlink"/>
                <w:rFonts w:ascii="Arial" w:hAnsi="Arial"/>
                <w:b/>
                <w:bCs/>
                <w:sz w:val="16"/>
                <w:szCs w:val="16"/>
              </w:rPr>
              <w:t>srf.ch/</w:t>
            </w:r>
            <w:proofErr w:type="spellStart"/>
            <w:r w:rsidR="00BF7148" w:rsidRPr="00CA2B54">
              <w:rPr>
                <w:rStyle w:val="Hyperlink"/>
                <w:rFonts w:ascii="Arial" w:hAnsi="Arial"/>
                <w:b/>
                <w:bCs/>
                <w:sz w:val="16"/>
                <w:szCs w:val="16"/>
              </w:rPr>
              <w:t>myschool</w:t>
            </w:r>
            <w:proofErr w:type="spellEnd"/>
          </w:hyperlink>
        </w:p>
      </w:tc>
      <w:tc>
        <w:tcPr>
          <w:tcW w:w="4613" w:type="dxa"/>
          <w:shd w:val="clear" w:color="auto" w:fill="C7C0B9"/>
        </w:tcPr>
        <w:p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54E07">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D54E07">
            <w:rPr>
              <w:rFonts w:ascii="Arial" w:hAnsi="Arial"/>
              <w:b/>
              <w:noProof/>
              <w:sz w:val="16"/>
              <w:szCs w:val="16"/>
            </w:rPr>
            <w:t>1</w:t>
          </w:r>
          <w:r w:rsidRPr="00E231F5">
            <w:rPr>
              <w:rFonts w:ascii="Arial" w:hAnsi="Arial"/>
              <w:b/>
              <w:noProof/>
              <w:sz w:val="16"/>
              <w:szCs w:val="16"/>
            </w:rPr>
            <w:fldChar w:fldCharType="end"/>
          </w:r>
        </w:p>
      </w:tc>
    </w:tr>
  </w:tbl>
  <w:p w:rsidR="000A30A8" w:rsidRDefault="000A30A8"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A8" w:rsidRDefault="000A30A8" w:rsidP="00E253C5">
      <w:pPr>
        <w:spacing w:after="0" w:line="240" w:lineRule="auto"/>
      </w:pPr>
      <w:r>
        <w:separator/>
      </w:r>
    </w:p>
  </w:footnote>
  <w:footnote w:type="continuationSeparator" w:id="0">
    <w:p w:rsidR="000A30A8" w:rsidRDefault="000A30A8"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6678"/>
      <w:gridCol w:w="4678"/>
    </w:tblGrid>
    <w:tr w:rsidR="000A30A8" w:rsidRPr="000A30A8" w:rsidTr="006B2E4A">
      <w:tc>
        <w:tcPr>
          <w:tcW w:w="3812" w:type="dxa"/>
        </w:tcPr>
        <w:p w:rsidR="000A30A8" w:rsidRDefault="000A30A8" w:rsidP="00E253C5">
          <w:pPr>
            <w:pStyle w:val="Kopfzeile"/>
            <w:tabs>
              <w:tab w:val="clear" w:pos="4536"/>
              <w:tab w:val="clear" w:pos="9072"/>
            </w:tabs>
            <w:ind w:left="-142"/>
          </w:pPr>
          <w:r>
            <w:rPr>
              <w:noProof/>
              <w:lang w:eastAsia="de-CH"/>
            </w:rPr>
            <w:drawing>
              <wp:inline distT="0" distB="0" distL="0" distR="0" wp14:anchorId="6A21C6B4" wp14:editId="2CD0CDD2">
                <wp:extent cx="1188000" cy="30206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6678" w:type="dxa"/>
        </w:tcPr>
        <w:p w:rsidR="000A30A8" w:rsidRDefault="000A30A8" w:rsidP="000A30A8">
          <w:pPr>
            <w:pStyle w:val="Kopfzeile"/>
          </w:pPr>
        </w:p>
      </w:tc>
      <w:tc>
        <w:tcPr>
          <w:tcW w:w="4678" w:type="dxa"/>
          <w:vAlign w:val="bottom"/>
        </w:tcPr>
        <w:p w:rsidR="000A30A8" w:rsidRPr="000A30A8" w:rsidRDefault="000A30A8" w:rsidP="006B2E4A">
          <w:pPr>
            <w:pStyle w:val="Kopfzeile"/>
            <w:ind w:right="-108"/>
            <w:jc w:val="right"/>
            <w:rPr>
              <w:rFonts w:ascii="Arial" w:hAnsi="Arial"/>
              <w:b/>
              <w:sz w:val="20"/>
              <w:szCs w:val="20"/>
            </w:rPr>
          </w:pPr>
          <w:r w:rsidRPr="000A30A8">
            <w:rPr>
              <w:rFonts w:ascii="Arial" w:hAnsi="Arial"/>
              <w:b/>
              <w:sz w:val="20"/>
              <w:szCs w:val="20"/>
            </w:rPr>
            <w:t xml:space="preserve">Arbeitsblatt </w:t>
          </w:r>
          <w:r w:rsidR="008F58B0">
            <w:rPr>
              <w:rFonts w:ascii="Arial" w:hAnsi="Arial"/>
              <w:b/>
              <w:sz w:val="20"/>
              <w:szCs w:val="20"/>
            </w:rPr>
            <w:t>3</w:t>
          </w:r>
        </w:p>
        <w:p w:rsidR="000A30A8" w:rsidRPr="000A30A8" w:rsidRDefault="008F58B0" w:rsidP="006B2E4A">
          <w:pPr>
            <w:pStyle w:val="Kopfzeile"/>
            <w:ind w:right="-108"/>
            <w:jc w:val="right"/>
            <w:rPr>
              <w:rFonts w:ascii="Arial" w:hAnsi="Arial"/>
              <w:b/>
              <w:sz w:val="20"/>
              <w:szCs w:val="20"/>
            </w:rPr>
          </w:pPr>
          <w:r>
            <w:rPr>
              <w:rFonts w:ascii="Arial" w:hAnsi="Arial"/>
              <w:b/>
              <w:sz w:val="20"/>
              <w:szCs w:val="20"/>
            </w:rPr>
            <w:t>Wiesensalbei</w:t>
          </w:r>
        </w:p>
      </w:tc>
    </w:tr>
  </w:tbl>
  <w:p w:rsidR="000A30A8" w:rsidRDefault="000A30A8"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A30A8"/>
    <w:rsid w:val="001359EB"/>
    <w:rsid w:val="00173E58"/>
    <w:rsid w:val="001D3F22"/>
    <w:rsid w:val="002839D8"/>
    <w:rsid w:val="002A6D76"/>
    <w:rsid w:val="00390D8E"/>
    <w:rsid w:val="003D0FFD"/>
    <w:rsid w:val="00446B94"/>
    <w:rsid w:val="005B5D46"/>
    <w:rsid w:val="006B2E4A"/>
    <w:rsid w:val="0070736C"/>
    <w:rsid w:val="00807D7C"/>
    <w:rsid w:val="00883481"/>
    <w:rsid w:val="008F58B0"/>
    <w:rsid w:val="00905186"/>
    <w:rsid w:val="00BF7148"/>
    <w:rsid w:val="00C05C58"/>
    <w:rsid w:val="00C22605"/>
    <w:rsid w:val="00D54E07"/>
    <w:rsid w:val="00D656C7"/>
    <w:rsid w:val="00E253C5"/>
    <w:rsid w:val="00ED50BC"/>
    <w:rsid w:val="00FD44DE"/>
    <w:rsid w:val="00FF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Kluge Pflanzen: 1. Wie die wilden Tiere</dc:title>
  <dc:creator>Marriott, Steven</dc:creator>
  <cp:keywords>Blumen, Pflanzen, Natur, Intelligenz, Evolution, Symbiose, Überleben, Bestäubung, Insekten, Gift, Abwehr</cp:keywords>
  <cp:lastModifiedBy>Marriott, Steven (SRF)</cp:lastModifiedBy>
  <cp:revision>12</cp:revision>
  <dcterms:created xsi:type="dcterms:W3CDTF">2013-08-14T11:34:00Z</dcterms:created>
  <dcterms:modified xsi:type="dcterms:W3CDTF">2013-08-19T09:07:00Z</dcterms:modified>
</cp:coreProperties>
</file>