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3347B" w:rsidTr="00B3347B">
        <w:tc>
          <w:tcPr>
            <w:tcW w:w="9212" w:type="dxa"/>
          </w:tcPr>
          <w:p w:rsidR="00B3347B" w:rsidRDefault="00B3347B" w:rsidP="00BB1A5B">
            <w:pPr>
              <w:rPr>
                <w:rFonts w:ascii="Arial" w:hAnsi="Arial"/>
                <w:sz w:val="20"/>
              </w:rPr>
            </w:pPr>
          </w:p>
        </w:tc>
      </w:tr>
      <w:tr w:rsidR="00B3347B" w:rsidTr="00B3347B">
        <w:tc>
          <w:tcPr>
            <w:tcW w:w="9212" w:type="dxa"/>
          </w:tcPr>
          <w:p w:rsidR="00B3347B" w:rsidRPr="00CC77FA" w:rsidRDefault="00B3347B" w:rsidP="009C49C1">
            <w:pPr>
              <w:rPr>
                <w:rFonts w:ascii="Arial" w:hAnsi="Arial"/>
                <w:b/>
                <w:sz w:val="18"/>
                <w:szCs w:val="18"/>
              </w:rPr>
            </w:pPr>
            <w:r w:rsidRPr="00CC77FA">
              <w:rPr>
                <w:rFonts w:ascii="Arial" w:hAnsi="Arial"/>
                <w:b/>
                <w:sz w:val="18"/>
                <w:szCs w:val="18"/>
              </w:rPr>
              <w:t xml:space="preserve">Studieren Sie den separat ausgeteilten Auszug aus dem Handelsregister Basel-Stadt und beantworten sie damit die Fragen </w:t>
            </w:r>
            <w:r w:rsidR="009C49C1" w:rsidRPr="00CC77FA">
              <w:rPr>
                <w:rFonts w:ascii="Arial" w:hAnsi="Arial"/>
                <w:b/>
                <w:sz w:val="18"/>
                <w:szCs w:val="18"/>
              </w:rPr>
              <w:t>1</w:t>
            </w:r>
            <w:r w:rsidRPr="00CC77FA">
              <w:rPr>
                <w:rFonts w:ascii="Arial" w:hAnsi="Arial"/>
                <w:b/>
                <w:sz w:val="18"/>
                <w:szCs w:val="18"/>
              </w:rPr>
              <w:t xml:space="preserve"> und </w:t>
            </w:r>
            <w:r w:rsidR="009C49C1" w:rsidRPr="00CC77FA">
              <w:rPr>
                <w:rFonts w:ascii="Arial" w:hAnsi="Arial"/>
                <w:b/>
                <w:sz w:val="18"/>
                <w:szCs w:val="18"/>
              </w:rPr>
              <w:t>2</w:t>
            </w:r>
            <w:r w:rsidRPr="00CC77FA">
              <w:rPr>
                <w:rFonts w:ascii="Arial" w:hAnsi="Arial"/>
                <w:b/>
                <w:sz w:val="18"/>
                <w:szCs w:val="18"/>
              </w:rPr>
              <w:t xml:space="preserve"> dieses Arbeitsblattes.</w:t>
            </w:r>
          </w:p>
        </w:tc>
      </w:tr>
      <w:tr w:rsidR="00B3347B" w:rsidTr="00B3347B">
        <w:tc>
          <w:tcPr>
            <w:tcW w:w="9212" w:type="dxa"/>
          </w:tcPr>
          <w:p w:rsidR="00B3347B" w:rsidRPr="00CC77FA" w:rsidRDefault="00B3347B" w:rsidP="00BB1A5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3347B" w:rsidTr="00B3347B">
        <w:tc>
          <w:tcPr>
            <w:tcW w:w="9212" w:type="dxa"/>
          </w:tcPr>
          <w:p w:rsidR="00B3347B" w:rsidRPr="00CC77FA" w:rsidRDefault="00B3347B" w:rsidP="00B3347B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Arial" w:hAnsi="Arial"/>
                <w:sz w:val="18"/>
                <w:szCs w:val="18"/>
              </w:rPr>
            </w:pPr>
            <w:r w:rsidRPr="00CC77FA">
              <w:rPr>
                <w:rFonts w:ascii="Arial" w:hAnsi="Arial"/>
                <w:sz w:val="18"/>
                <w:szCs w:val="18"/>
              </w:rPr>
              <w:t>Der FC Basel ist kein Verein mehr. Welche Rechtsform hat er heute, seit wann?</w:t>
            </w:r>
          </w:p>
          <w:p w:rsidR="00932042" w:rsidRPr="00CC77FA" w:rsidRDefault="00932042" w:rsidP="00932042">
            <w:pPr>
              <w:pStyle w:val="Listenabsatz"/>
              <w:ind w:left="426"/>
              <w:rPr>
                <w:rFonts w:ascii="Arial" w:hAnsi="Arial"/>
                <w:sz w:val="18"/>
                <w:szCs w:val="18"/>
              </w:rPr>
            </w:pPr>
          </w:p>
          <w:p w:rsidR="00B3347B" w:rsidRPr="00CC77FA" w:rsidRDefault="00932042" w:rsidP="00932042">
            <w:pPr>
              <w:pStyle w:val="Listenabsatz"/>
              <w:ind w:left="426"/>
              <w:rPr>
                <w:rFonts w:ascii="Arial" w:hAnsi="Arial"/>
                <w:b/>
                <w:sz w:val="18"/>
                <w:szCs w:val="18"/>
              </w:rPr>
            </w:pPr>
            <w:r w:rsidRPr="00CC77FA">
              <w:rPr>
                <w:rFonts w:ascii="Arial" w:hAnsi="Arial"/>
                <w:b/>
                <w:sz w:val="18"/>
                <w:szCs w:val="18"/>
              </w:rPr>
              <w:t>Aktiengesellschaft seit 24.02.2006</w:t>
            </w:r>
          </w:p>
        </w:tc>
      </w:tr>
      <w:tr w:rsidR="00B3347B" w:rsidTr="00B3347B">
        <w:tc>
          <w:tcPr>
            <w:tcW w:w="9212" w:type="dxa"/>
          </w:tcPr>
          <w:p w:rsidR="00B3347B" w:rsidRPr="00CC77FA" w:rsidRDefault="00B3347B" w:rsidP="00B3347B">
            <w:pPr>
              <w:tabs>
                <w:tab w:val="left" w:pos="6200"/>
              </w:tabs>
              <w:rPr>
                <w:rFonts w:ascii="Arial" w:hAnsi="Arial"/>
                <w:sz w:val="18"/>
                <w:szCs w:val="18"/>
              </w:rPr>
            </w:pPr>
            <w:r w:rsidRPr="00CC77FA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B3347B" w:rsidTr="00B3347B">
        <w:tc>
          <w:tcPr>
            <w:tcW w:w="9212" w:type="dxa"/>
          </w:tcPr>
          <w:p w:rsidR="00B3347B" w:rsidRPr="00CC77FA" w:rsidRDefault="00B3347B" w:rsidP="00932042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Arial" w:hAnsi="Arial"/>
                <w:sz w:val="18"/>
                <w:szCs w:val="18"/>
              </w:rPr>
            </w:pPr>
            <w:r w:rsidRPr="00CC77FA">
              <w:rPr>
                <w:rFonts w:ascii="Arial" w:hAnsi="Arial"/>
                <w:sz w:val="18"/>
                <w:szCs w:val="18"/>
              </w:rPr>
              <w:t>Wie heisst der oberste Boss beim FCB und wie lautet seine Funktion?</w:t>
            </w:r>
          </w:p>
          <w:p w:rsidR="00932042" w:rsidRPr="00CC77FA" w:rsidRDefault="00932042" w:rsidP="00932042">
            <w:pPr>
              <w:pStyle w:val="Listenabsatz"/>
              <w:ind w:left="426"/>
              <w:rPr>
                <w:rFonts w:ascii="Arial" w:hAnsi="Arial"/>
                <w:sz w:val="18"/>
                <w:szCs w:val="18"/>
              </w:rPr>
            </w:pPr>
          </w:p>
          <w:p w:rsidR="00932042" w:rsidRPr="00CC77FA" w:rsidRDefault="00932042" w:rsidP="0093204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18"/>
                <w:szCs w:val="18"/>
              </w:rPr>
            </w:pPr>
            <w:r w:rsidRPr="00CC77FA">
              <w:rPr>
                <w:rFonts w:ascii="Arial" w:hAnsi="Arial"/>
                <w:b/>
                <w:sz w:val="18"/>
                <w:szCs w:val="18"/>
              </w:rPr>
              <w:t xml:space="preserve">Dr. Bernhard </w:t>
            </w:r>
            <w:proofErr w:type="spellStart"/>
            <w:r w:rsidRPr="00CC77FA">
              <w:rPr>
                <w:rFonts w:ascii="Arial" w:hAnsi="Arial"/>
                <w:b/>
                <w:sz w:val="18"/>
                <w:szCs w:val="18"/>
              </w:rPr>
              <w:t>Heusler</w:t>
            </w:r>
            <w:proofErr w:type="spellEnd"/>
            <w:r w:rsidRPr="00CC77FA">
              <w:rPr>
                <w:rFonts w:ascii="Arial" w:hAnsi="Arial"/>
                <w:b/>
                <w:sz w:val="18"/>
                <w:szCs w:val="18"/>
              </w:rPr>
              <w:t xml:space="preserve">, Präsident des Verwaltungsrates und Delegierter des </w:t>
            </w:r>
          </w:p>
          <w:p w:rsidR="00932042" w:rsidRPr="00CC77FA" w:rsidRDefault="00932042" w:rsidP="0093204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18"/>
                <w:szCs w:val="18"/>
              </w:rPr>
            </w:pPr>
            <w:r w:rsidRPr="00CC77FA">
              <w:rPr>
                <w:rFonts w:ascii="Arial" w:hAnsi="Arial"/>
                <w:b/>
                <w:sz w:val="18"/>
                <w:szCs w:val="18"/>
              </w:rPr>
              <w:t>Verwaltungsrates</w:t>
            </w:r>
          </w:p>
        </w:tc>
      </w:tr>
      <w:tr w:rsidR="00B3347B" w:rsidTr="00B3347B">
        <w:tc>
          <w:tcPr>
            <w:tcW w:w="9212" w:type="dxa"/>
          </w:tcPr>
          <w:p w:rsidR="00B3347B" w:rsidRPr="00CC77FA" w:rsidRDefault="00B3347B" w:rsidP="00BB1A5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3347B" w:rsidTr="00B3347B">
        <w:tc>
          <w:tcPr>
            <w:tcW w:w="9212" w:type="dxa"/>
          </w:tcPr>
          <w:p w:rsidR="00B3347B" w:rsidRPr="00CC77FA" w:rsidRDefault="003F77BE" w:rsidP="009C63F8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Arial" w:hAnsi="Arial"/>
                <w:sz w:val="18"/>
                <w:szCs w:val="18"/>
              </w:rPr>
            </w:pPr>
            <w:r w:rsidRPr="00CC77FA">
              <w:rPr>
                <w:rFonts w:ascii="Arial" w:hAnsi="Arial"/>
                <w:sz w:val="18"/>
                <w:szCs w:val="18"/>
              </w:rPr>
              <w:t>Was ist ein KMU</w:t>
            </w:r>
            <w:r w:rsidR="009C63F8" w:rsidRPr="00CC77FA">
              <w:rPr>
                <w:rFonts w:ascii="Arial" w:hAnsi="Arial"/>
                <w:sz w:val="18"/>
                <w:szCs w:val="18"/>
              </w:rPr>
              <w:t>?</w:t>
            </w:r>
          </w:p>
          <w:p w:rsidR="00932042" w:rsidRPr="00CC77FA" w:rsidRDefault="00932042" w:rsidP="00932042">
            <w:pPr>
              <w:pStyle w:val="Listenabsatz"/>
              <w:ind w:left="426"/>
              <w:rPr>
                <w:rFonts w:ascii="Arial" w:hAnsi="Arial"/>
                <w:sz w:val="18"/>
                <w:szCs w:val="18"/>
              </w:rPr>
            </w:pPr>
          </w:p>
          <w:p w:rsidR="009C63F8" w:rsidRPr="00CC77FA" w:rsidRDefault="00932042" w:rsidP="009C63F8">
            <w:pPr>
              <w:pStyle w:val="Listenabsatz"/>
              <w:ind w:left="426"/>
              <w:rPr>
                <w:rFonts w:ascii="Arial" w:hAnsi="Arial"/>
                <w:b/>
                <w:sz w:val="18"/>
                <w:szCs w:val="18"/>
              </w:rPr>
            </w:pPr>
            <w:r w:rsidRPr="00CC77FA">
              <w:rPr>
                <w:rFonts w:ascii="Arial" w:hAnsi="Arial"/>
                <w:b/>
                <w:sz w:val="18"/>
                <w:szCs w:val="18"/>
              </w:rPr>
              <w:t>Abkürzung für «Kleine und Mittlere Unternehmen»</w:t>
            </w:r>
          </w:p>
        </w:tc>
      </w:tr>
      <w:tr w:rsidR="00283B39" w:rsidTr="00B3347B">
        <w:tc>
          <w:tcPr>
            <w:tcW w:w="9212" w:type="dxa"/>
          </w:tcPr>
          <w:p w:rsidR="00283B39" w:rsidRPr="00CC77FA" w:rsidRDefault="00283B39" w:rsidP="009C63F8">
            <w:pPr>
              <w:ind w:left="426" w:hanging="426"/>
              <w:rPr>
                <w:rFonts w:ascii="Arial" w:hAnsi="Arial"/>
                <w:sz w:val="18"/>
                <w:szCs w:val="18"/>
              </w:rPr>
            </w:pPr>
          </w:p>
        </w:tc>
      </w:tr>
      <w:tr w:rsidR="00283B39" w:rsidTr="00B3347B">
        <w:tc>
          <w:tcPr>
            <w:tcW w:w="9212" w:type="dxa"/>
          </w:tcPr>
          <w:p w:rsidR="00283B39" w:rsidRPr="00CC77FA" w:rsidRDefault="009C63F8" w:rsidP="009C63F8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Arial" w:hAnsi="Arial"/>
                <w:sz w:val="18"/>
                <w:szCs w:val="18"/>
              </w:rPr>
            </w:pPr>
            <w:r w:rsidRPr="00CC77FA">
              <w:rPr>
                <w:rFonts w:ascii="Arial" w:hAnsi="Arial"/>
                <w:sz w:val="18"/>
                <w:szCs w:val="18"/>
              </w:rPr>
              <w:t xml:space="preserve">Warum sind die Spieler das </w:t>
            </w:r>
            <w:r w:rsidR="003F77BE" w:rsidRPr="00CC77FA">
              <w:rPr>
                <w:rFonts w:ascii="Arial" w:hAnsi="Arial"/>
                <w:sz w:val="18"/>
                <w:szCs w:val="18"/>
              </w:rPr>
              <w:t>eigentliche Kapital</w:t>
            </w:r>
            <w:r w:rsidRPr="00CC77FA">
              <w:rPr>
                <w:rFonts w:ascii="Arial" w:hAnsi="Arial"/>
                <w:sz w:val="18"/>
                <w:szCs w:val="18"/>
              </w:rPr>
              <w:t xml:space="preserve"> des FCB?</w:t>
            </w:r>
          </w:p>
          <w:p w:rsidR="00932042" w:rsidRPr="00CC77FA" w:rsidRDefault="00932042" w:rsidP="00932042">
            <w:pPr>
              <w:pStyle w:val="Listenabsatz"/>
              <w:ind w:left="426"/>
              <w:rPr>
                <w:rFonts w:ascii="Arial" w:hAnsi="Arial"/>
                <w:sz w:val="18"/>
                <w:szCs w:val="18"/>
              </w:rPr>
            </w:pPr>
          </w:p>
          <w:p w:rsidR="009C63F8" w:rsidRPr="00CC77FA" w:rsidRDefault="00932042" w:rsidP="009C63F8">
            <w:pPr>
              <w:pStyle w:val="Listenabsatz"/>
              <w:ind w:left="426"/>
              <w:rPr>
                <w:rFonts w:ascii="Arial" w:hAnsi="Arial"/>
                <w:b/>
                <w:sz w:val="18"/>
                <w:szCs w:val="18"/>
              </w:rPr>
            </w:pPr>
            <w:r w:rsidRPr="00CC77FA">
              <w:rPr>
                <w:rFonts w:ascii="Arial" w:hAnsi="Arial"/>
                <w:b/>
                <w:sz w:val="18"/>
                <w:szCs w:val="18"/>
              </w:rPr>
              <w:t>Die Spieler der 1. Mannschaft bilden das Rückgrat und die Basis für den sportlichen und wirtschaftl</w:t>
            </w:r>
            <w:r w:rsidRPr="00CC77FA">
              <w:rPr>
                <w:rFonts w:ascii="Arial" w:hAnsi="Arial"/>
                <w:b/>
                <w:sz w:val="18"/>
                <w:szCs w:val="18"/>
              </w:rPr>
              <w:t>i</w:t>
            </w:r>
            <w:r w:rsidRPr="00CC77FA">
              <w:rPr>
                <w:rFonts w:ascii="Arial" w:hAnsi="Arial"/>
                <w:b/>
                <w:sz w:val="18"/>
                <w:szCs w:val="18"/>
              </w:rPr>
              <w:t>chen Erfolg des Unternehmens FC Basel AG. Ohne Fussballspieler kein Fussballbetrieb. (Vergleich mit Produktionsunternehmen: Ohne Maschinen keine Produktion.)</w:t>
            </w:r>
          </w:p>
        </w:tc>
      </w:tr>
      <w:tr w:rsidR="00283B39" w:rsidTr="00B3347B">
        <w:tc>
          <w:tcPr>
            <w:tcW w:w="9212" w:type="dxa"/>
          </w:tcPr>
          <w:p w:rsidR="00283B39" w:rsidRPr="00CC77FA" w:rsidRDefault="00283B39" w:rsidP="009C63F8">
            <w:pPr>
              <w:ind w:left="426" w:hanging="426"/>
              <w:rPr>
                <w:rFonts w:ascii="Arial" w:hAnsi="Arial"/>
                <w:sz w:val="18"/>
                <w:szCs w:val="18"/>
              </w:rPr>
            </w:pPr>
          </w:p>
        </w:tc>
      </w:tr>
      <w:tr w:rsidR="00283B39" w:rsidTr="00B3347B">
        <w:tc>
          <w:tcPr>
            <w:tcW w:w="9212" w:type="dxa"/>
          </w:tcPr>
          <w:p w:rsidR="009C63F8" w:rsidRPr="00CC77FA" w:rsidRDefault="009C63F8" w:rsidP="007027A0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Arial" w:hAnsi="Arial"/>
                <w:sz w:val="18"/>
                <w:szCs w:val="18"/>
              </w:rPr>
            </w:pPr>
            <w:r w:rsidRPr="00CC77FA">
              <w:rPr>
                <w:rFonts w:ascii="Arial" w:hAnsi="Arial"/>
                <w:sz w:val="18"/>
                <w:szCs w:val="18"/>
              </w:rPr>
              <w:t>Was sind «</w:t>
            </w:r>
            <w:proofErr w:type="spellStart"/>
            <w:r w:rsidRPr="00CC77FA">
              <w:rPr>
                <w:rFonts w:ascii="Arial" w:hAnsi="Arial"/>
                <w:sz w:val="18"/>
                <w:szCs w:val="18"/>
              </w:rPr>
              <w:t>stakeholders</w:t>
            </w:r>
            <w:proofErr w:type="spellEnd"/>
            <w:r w:rsidRPr="00CC77FA">
              <w:rPr>
                <w:rFonts w:ascii="Arial" w:hAnsi="Arial"/>
                <w:sz w:val="18"/>
                <w:szCs w:val="18"/>
              </w:rPr>
              <w:t>»?</w:t>
            </w:r>
          </w:p>
          <w:p w:rsidR="007027A0" w:rsidRPr="00CC77FA" w:rsidRDefault="007027A0" w:rsidP="007027A0">
            <w:pPr>
              <w:pStyle w:val="Listenabsatz"/>
              <w:ind w:left="426"/>
              <w:rPr>
                <w:rFonts w:ascii="Arial" w:hAnsi="Arial"/>
                <w:sz w:val="18"/>
                <w:szCs w:val="18"/>
              </w:rPr>
            </w:pPr>
          </w:p>
          <w:p w:rsidR="007027A0" w:rsidRPr="00CC77FA" w:rsidRDefault="007027A0" w:rsidP="002C3C9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18"/>
                <w:szCs w:val="18"/>
              </w:rPr>
            </w:pPr>
            <w:r w:rsidRPr="00CC77FA">
              <w:rPr>
                <w:rFonts w:ascii="Arial" w:hAnsi="Arial"/>
                <w:b/>
                <w:sz w:val="18"/>
                <w:szCs w:val="18"/>
              </w:rPr>
              <w:t>Das ist der englische Begriff für die Anspruchsgruppen einer Unternehmung (betriebswirtschaftliche Anwendung des Begriffs). Dazu gehören Kunden, Mitarbeiter, Lieferanten, Kapitalgeber, das Manag</w:t>
            </w:r>
            <w:r w:rsidRPr="00CC77FA">
              <w:rPr>
                <w:rFonts w:ascii="Arial" w:hAnsi="Arial"/>
                <w:b/>
                <w:sz w:val="18"/>
                <w:szCs w:val="18"/>
              </w:rPr>
              <w:t>e</w:t>
            </w:r>
            <w:r w:rsidRPr="00CC77FA">
              <w:rPr>
                <w:rFonts w:ascii="Arial" w:hAnsi="Arial"/>
                <w:b/>
                <w:sz w:val="18"/>
                <w:szCs w:val="18"/>
              </w:rPr>
              <w:t>ment aber auch der St</w:t>
            </w:r>
            <w:r w:rsidR="002C3C92" w:rsidRPr="00CC77FA">
              <w:rPr>
                <w:rFonts w:ascii="Arial" w:hAnsi="Arial"/>
                <w:b/>
                <w:sz w:val="18"/>
                <w:szCs w:val="18"/>
              </w:rPr>
              <w:t>aat. Sie alle stellen Ansprüche an ein</w:t>
            </w:r>
            <w:r w:rsidRPr="00CC77FA">
              <w:rPr>
                <w:rFonts w:ascii="Arial" w:hAnsi="Arial"/>
                <w:b/>
                <w:sz w:val="18"/>
                <w:szCs w:val="18"/>
              </w:rPr>
              <w:t xml:space="preserve"> Unternehm</w:t>
            </w:r>
            <w:r w:rsidR="002C3C92" w:rsidRPr="00CC77FA">
              <w:rPr>
                <w:rFonts w:ascii="Arial" w:hAnsi="Arial"/>
                <w:b/>
                <w:sz w:val="18"/>
                <w:szCs w:val="18"/>
              </w:rPr>
              <w:t>en</w:t>
            </w:r>
            <w:r w:rsidRPr="00CC77FA">
              <w:rPr>
                <w:rFonts w:ascii="Arial" w:hAnsi="Arial"/>
                <w:b/>
                <w:sz w:val="18"/>
                <w:szCs w:val="18"/>
              </w:rPr>
              <w:t xml:space="preserve">. Bernhard </w:t>
            </w:r>
            <w:proofErr w:type="spellStart"/>
            <w:r w:rsidRPr="00CC77FA">
              <w:rPr>
                <w:rFonts w:ascii="Arial" w:hAnsi="Arial"/>
                <w:b/>
                <w:sz w:val="18"/>
                <w:szCs w:val="18"/>
              </w:rPr>
              <w:t>Heusler</w:t>
            </w:r>
            <w:proofErr w:type="spellEnd"/>
            <w:r w:rsidRPr="00CC77FA">
              <w:rPr>
                <w:rFonts w:ascii="Arial" w:hAnsi="Arial"/>
                <w:b/>
                <w:sz w:val="18"/>
                <w:szCs w:val="18"/>
              </w:rPr>
              <w:t xml:space="preserve"> meint im Beitrag die bis zu 30</w:t>
            </w:r>
            <w:r w:rsidR="002C3C92" w:rsidRPr="00CC77FA">
              <w:rPr>
                <w:rFonts w:ascii="Arial" w:hAnsi="Arial"/>
                <w:b/>
                <w:sz w:val="18"/>
                <w:szCs w:val="18"/>
              </w:rPr>
              <w:t>‘</w:t>
            </w:r>
            <w:r w:rsidRPr="00CC77FA">
              <w:rPr>
                <w:rFonts w:ascii="Arial" w:hAnsi="Arial"/>
                <w:b/>
                <w:sz w:val="18"/>
                <w:szCs w:val="18"/>
              </w:rPr>
              <w:t>000 Fans. Betriebswirtschaftlich gesehen sind sie die Kunden des FCB.</w:t>
            </w:r>
          </w:p>
        </w:tc>
      </w:tr>
      <w:tr w:rsidR="009C63F8" w:rsidTr="00B3347B">
        <w:tc>
          <w:tcPr>
            <w:tcW w:w="9212" w:type="dxa"/>
          </w:tcPr>
          <w:p w:rsidR="009C63F8" w:rsidRPr="00CC77FA" w:rsidRDefault="009C63F8" w:rsidP="009C63F8">
            <w:pPr>
              <w:ind w:left="426" w:hanging="426"/>
              <w:rPr>
                <w:rFonts w:ascii="Arial" w:hAnsi="Arial"/>
                <w:sz w:val="18"/>
                <w:szCs w:val="18"/>
              </w:rPr>
            </w:pPr>
          </w:p>
        </w:tc>
      </w:tr>
      <w:tr w:rsidR="009C63F8" w:rsidTr="00B3347B">
        <w:tc>
          <w:tcPr>
            <w:tcW w:w="9212" w:type="dxa"/>
          </w:tcPr>
          <w:p w:rsidR="009C63F8" w:rsidRPr="00CC77FA" w:rsidRDefault="009C63F8" w:rsidP="009C63F8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Arial" w:hAnsi="Arial"/>
                <w:sz w:val="18"/>
                <w:szCs w:val="18"/>
              </w:rPr>
            </w:pPr>
            <w:r w:rsidRPr="00CC77FA">
              <w:rPr>
                <w:rFonts w:ascii="Arial" w:hAnsi="Arial"/>
                <w:sz w:val="18"/>
                <w:szCs w:val="18"/>
              </w:rPr>
              <w:t>Womit nimmt der FCB sein Geld hauptsächlich ein?</w:t>
            </w:r>
          </w:p>
          <w:p w:rsidR="002C744E" w:rsidRPr="00CC77FA" w:rsidRDefault="002C744E" w:rsidP="002C744E">
            <w:pPr>
              <w:pStyle w:val="Listenabsatz"/>
              <w:ind w:left="426"/>
              <w:rPr>
                <w:rFonts w:ascii="Arial" w:hAnsi="Arial"/>
                <w:sz w:val="18"/>
                <w:szCs w:val="18"/>
              </w:rPr>
            </w:pPr>
          </w:p>
          <w:p w:rsidR="002C744E" w:rsidRPr="00CC77FA" w:rsidRDefault="002C744E" w:rsidP="002C744E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18"/>
                <w:szCs w:val="18"/>
              </w:rPr>
            </w:pPr>
            <w:r w:rsidRPr="00CC77FA">
              <w:rPr>
                <w:rFonts w:ascii="Arial" w:hAnsi="Arial"/>
                <w:b/>
                <w:sz w:val="18"/>
                <w:szCs w:val="18"/>
              </w:rPr>
              <w:t>Zuschauereinnahmen (Tickets) CHF 26 Mio.</w:t>
            </w:r>
          </w:p>
          <w:p w:rsidR="002C744E" w:rsidRPr="00CC77FA" w:rsidRDefault="002C744E" w:rsidP="002C744E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18"/>
                <w:szCs w:val="18"/>
              </w:rPr>
            </w:pPr>
            <w:r w:rsidRPr="00CC77FA">
              <w:rPr>
                <w:rFonts w:ascii="Arial" w:hAnsi="Arial"/>
                <w:b/>
                <w:sz w:val="18"/>
                <w:szCs w:val="18"/>
              </w:rPr>
              <w:t>Werbung und Sponsoring CHF 8 Mio.</w:t>
            </w:r>
          </w:p>
          <w:p w:rsidR="002C744E" w:rsidRPr="00CC77FA" w:rsidRDefault="002C744E" w:rsidP="002C744E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18"/>
                <w:szCs w:val="18"/>
              </w:rPr>
            </w:pPr>
            <w:r w:rsidRPr="00CC77FA">
              <w:rPr>
                <w:rFonts w:ascii="Arial" w:hAnsi="Arial"/>
                <w:b/>
                <w:sz w:val="18"/>
                <w:szCs w:val="18"/>
              </w:rPr>
              <w:t>Merchandising CHF 3 Mio.</w:t>
            </w:r>
          </w:p>
          <w:p w:rsidR="002C744E" w:rsidRPr="00CC77FA" w:rsidRDefault="002C744E" w:rsidP="002C744E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18"/>
                <w:szCs w:val="18"/>
              </w:rPr>
            </w:pPr>
            <w:r w:rsidRPr="00CC77FA">
              <w:rPr>
                <w:rFonts w:ascii="Arial" w:hAnsi="Arial"/>
                <w:b/>
                <w:sz w:val="18"/>
                <w:szCs w:val="18"/>
              </w:rPr>
              <w:t xml:space="preserve">TV-Einnahmen aus nationalen Spielen CHF 1 Mio. </w:t>
            </w:r>
          </w:p>
          <w:p w:rsidR="002C744E" w:rsidRPr="00CC77FA" w:rsidRDefault="002C744E" w:rsidP="002C744E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18"/>
                <w:szCs w:val="18"/>
              </w:rPr>
            </w:pPr>
            <w:r w:rsidRPr="00CC77FA">
              <w:rPr>
                <w:rFonts w:ascii="Arial" w:hAnsi="Arial"/>
                <w:b/>
                <w:sz w:val="18"/>
                <w:szCs w:val="18"/>
              </w:rPr>
              <w:t>Champions League-Teilnahme CHF 17 Mio.</w:t>
            </w:r>
          </w:p>
          <w:p w:rsidR="002C744E" w:rsidRPr="00CC77FA" w:rsidRDefault="002C744E" w:rsidP="002C744E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18"/>
                <w:szCs w:val="18"/>
              </w:rPr>
            </w:pPr>
            <w:r w:rsidRPr="00CC77FA">
              <w:rPr>
                <w:rFonts w:ascii="Arial" w:hAnsi="Arial"/>
                <w:b/>
                <w:sz w:val="18"/>
                <w:szCs w:val="18"/>
              </w:rPr>
              <w:t>Transferertrag (Gewinn aus Spielerverkäufen) CHF 10 Mio.</w:t>
            </w:r>
          </w:p>
          <w:p w:rsidR="001803DA" w:rsidRPr="00CC77FA" w:rsidRDefault="002C744E" w:rsidP="002C744E">
            <w:pPr>
              <w:pStyle w:val="Listenabsatz"/>
              <w:ind w:left="426"/>
              <w:rPr>
                <w:rFonts w:ascii="Arial" w:hAnsi="Arial"/>
                <w:sz w:val="18"/>
                <w:szCs w:val="18"/>
              </w:rPr>
            </w:pPr>
            <w:r w:rsidRPr="00CC77FA">
              <w:rPr>
                <w:rFonts w:ascii="Arial" w:hAnsi="Arial"/>
                <w:b/>
                <w:sz w:val="18"/>
                <w:szCs w:val="18"/>
              </w:rPr>
              <w:t>Total Umsatz: CHF 65 Mio.</w:t>
            </w:r>
          </w:p>
        </w:tc>
      </w:tr>
      <w:tr w:rsidR="009C63F8" w:rsidTr="00B3347B">
        <w:tc>
          <w:tcPr>
            <w:tcW w:w="9212" w:type="dxa"/>
          </w:tcPr>
          <w:p w:rsidR="009C63F8" w:rsidRPr="00CC77FA" w:rsidRDefault="009C63F8" w:rsidP="009C63F8">
            <w:pPr>
              <w:ind w:left="426" w:hanging="426"/>
              <w:rPr>
                <w:rFonts w:ascii="Arial" w:hAnsi="Arial"/>
                <w:sz w:val="18"/>
                <w:szCs w:val="18"/>
              </w:rPr>
            </w:pPr>
          </w:p>
        </w:tc>
      </w:tr>
      <w:tr w:rsidR="009C63F8" w:rsidTr="00B3347B">
        <w:tc>
          <w:tcPr>
            <w:tcW w:w="9212" w:type="dxa"/>
          </w:tcPr>
          <w:p w:rsidR="009C63F8" w:rsidRPr="00CC77FA" w:rsidRDefault="009C63F8" w:rsidP="009C63F8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Arial" w:hAnsi="Arial"/>
                <w:sz w:val="18"/>
                <w:szCs w:val="18"/>
              </w:rPr>
            </w:pPr>
            <w:r w:rsidRPr="00CC77FA">
              <w:rPr>
                <w:rFonts w:ascii="Arial" w:hAnsi="Arial"/>
                <w:sz w:val="18"/>
                <w:szCs w:val="18"/>
              </w:rPr>
              <w:t>Warum ist die Teilnahme an der Champions League nicht nur sportlich interessant?</w:t>
            </w:r>
          </w:p>
          <w:p w:rsidR="00F42928" w:rsidRPr="00CC77FA" w:rsidRDefault="00F42928" w:rsidP="00F42928">
            <w:pPr>
              <w:pStyle w:val="Listenabsatz"/>
              <w:ind w:left="426"/>
              <w:rPr>
                <w:rFonts w:ascii="Arial" w:hAnsi="Arial"/>
                <w:sz w:val="18"/>
                <w:szCs w:val="18"/>
              </w:rPr>
            </w:pPr>
          </w:p>
          <w:p w:rsidR="001803DA" w:rsidRPr="00CC77FA" w:rsidRDefault="00F42928" w:rsidP="001803DA">
            <w:pPr>
              <w:pStyle w:val="Listenabsatz"/>
              <w:ind w:left="426"/>
              <w:rPr>
                <w:rFonts w:ascii="Arial" w:hAnsi="Arial"/>
                <w:b/>
                <w:sz w:val="18"/>
                <w:szCs w:val="18"/>
              </w:rPr>
            </w:pPr>
            <w:r w:rsidRPr="00CC77FA">
              <w:rPr>
                <w:rFonts w:ascii="Arial" w:hAnsi="Arial"/>
                <w:b/>
                <w:sz w:val="18"/>
                <w:szCs w:val="18"/>
              </w:rPr>
              <w:t>Die Teilnahme spült viel Geld in die Kasse. 2011 waren es CHF 17 Mio. Das machte also rund einen Viertel der gesamten Einnahmen aus!</w:t>
            </w:r>
          </w:p>
        </w:tc>
      </w:tr>
      <w:tr w:rsidR="009C63F8" w:rsidTr="00B3347B">
        <w:tc>
          <w:tcPr>
            <w:tcW w:w="9212" w:type="dxa"/>
          </w:tcPr>
          <w:p w:rsidR="009C63F8" w:rsidRPr="00CC77FA" w:rsidRDefault="009C63F8" w:rsidP="009C63F8">
            <w:pPr>
              <w:ind w:left="426" w:hanging="426"/>
              <w:rPr>
                <w:rFonts w:ascii="Arial" w:hAnsi="Arial"/>
                <w:sz w:val="18"/>
                <w:szCs w:val="18"/>
              </w:rPr>
            </w:pPr>
          </w:p>
        </w:tc>
      </w:tr>
      <w:tr w:rsidR="009C63F8" w:rsidTr="00B3347B">
        <w:tc>
          <w:tcPr>
            <w:tcW w:w="9212" w:type="dxa"/>
          </w:tcPr>
          <w:p w:rsidR="009C63F8" w:rsidRPr="00CC77FA" w:rsidRDefault="009C63F8" w:rsidP="009C63F8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Arial" w:hAnsi="Arial"/>
                <w:sz w:val="18"/>
                <w:szCs w:val="18"/>
              </w:rPr>
            </w:pPr>
            <w:r w:rsidRPr="00CC77FA">
              <w:rPr>
                <w:rFonts w:ascii="Arial" w:hAnsi="Arial"/>
                <w:sz w:val="18"/>
                <w:szCs w:val="18"/>
              </w:rPr>
              <w:t>Warum lohnt es sich für den FCB, noch stärker auf den Nachwuchs zu setzen?</w:t>
            </w:r>
          </w:p>
          <w:p w:rsidR="00CC77FA" w:rsidRPr="00CC77FA" w:rsidRDefault="00CC77FA" w:rsidP="00CC77FA">
            <w:pPr>
              <w:pStyle w:val="Listenabsatz"/>
              <w:ind w:left="426"/>
              <w:rPr>
                <w:rFonts w:ascii="Arial" w:hAnsi="Arial"/>
                <w:sz w:val="18"/>
                <w:szCs w:val="18"/>
              </w:rPr>
            </w:pPr>
          </w:p>
          <w:p w:rsidR="00863425" w:rsidRPr="00CC77FA" w:rsidRDefault="00CC77FA" w:rsidP="00863425">
            <w:pPr>
              <w:pStyle w:val="Listenabsatz"/>
              <w:ind w:left="426"/>
              <w:rPr>
                <w:rFonts w:ascii="Arial" w:hAnsi="Arial"/>
                <w:b/>
                <w:sz w:val="18"/>
                <w:szCs w:val="18"/>
              </w:rPr>
            </w:pPr>
            <w:r w:rsidRPr="00CC77FA">
              <w:rPr>
                <w:rFonts w:ascii="Arial" w:hAnsi="Arial"/>
                <w:b/>
                <w:sz w:val="18"/>
                <w:szCs w:val="18"/>
              </w:rPr>
              <w:t>Die Nachwuchsspieler kosten den FCB keinen Franken für den Einkauf. Sie werden vom FCB im be</w:t>
            </w:r>
            <w:r w:rsidRPr="00CC77FA">
              <w:rPr>
                <w:rFonts w:ascii="Arial" w:hAnsi="Arial"/>
                <w:b/>
                <w:sz w:val="18"/>
                <w:szCs w:val="18"/>
              </w:rPr>
              <w:t>s</w:t>
            </w:r>
            <w:r w:rsidRPr="00CC77FA">
              <w:rPr>
                <w:rFonts w:ascii="Arial" w:hAnsi="Arial"/>
                <w:b/>
                <w:sz w:val="18"/>
                <w:szCs w:val="18"/>
              </w:rPr>
              <w:t>ten Fall bis zur 1. Mannschaft trainiert und aufgebaut. Mit Spielerfolg und einem langfristigen FCB-Vertrag ausgestattet können diese Talente dann für gutes Geld verkauft werden.</w:t>
            </w:r>
          </w:p>
        </w:tc>
      </w:tr>
      <w:tr w:rsidR="009C63F8" w:rsidTr="00B3347B">
        <w:tc>
          <w:tcPr>
            <w:tcW w:w="9212" w:type="dxa"/>
          </w:tcPr>
          <w:p w:rsidR="009C63F8" w:rsidRPr="00CC77FA" w:rsidRDefault="009C63F8" w:rsidP="009C63F8">
            <w:pPr>
              <w:ind w:left="426" w:hanging="426"/>
              <w:rPr>
                <w:rFonts w:ascii="Arial" w:hAnsi="Arial"/>
                <w:sz w:val="18"/>
                <w:szCs w:val="18"/>
              </w:rPr>
            </w:pPr>
          </w:p>
        </w:tc>
      </w:tr>
      <w:tr w:rsidR="009C63F8" w:rsidTr="00B3347B">
        <w:tc>
          <w:tcPr>
            <w:tcW w:w="9212" w:type="dxa"/>
          </w:tcPr>
          <w:p w:rsidR="009C63F8" w:rsidRPr="00CC77FA" w:rsidRDefault="009C63F8" w:rsidP="009C63F8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Arial" w:hAnsi="Arial"/>
                <w:sz w:val="18"/>
                <w:szCs w:val="18"/>
              </w:rPr>
            </w:pPr>
            <w:r w:rsidRPr="00CC77FA">
              <w:rPr>
                <w:rFonts w:ascii="Arial" w:hAnsi="Arial"/>
                <w:sz w:val="18"/>
                <w:szCs w:val="18"/>
              </w:rPr>
              <w:t xml:space="preserve">Worauf spricht Moderator Reto Lipp am Schluss des Beitrags 2 an, wenn er vom «Scheitern von </w:t>
            </w:r>
            <w:proofErr w:type="spellStart"/>
            <w:r w:rsidRPr="00CC77FA">
              <w:rPr>
                <w:rFonts w:ascii="Arial" w:hAnsi="Arial"/>
                <w:sz w:val="18"/>
                <w:szCs w:val="18"/>
              </w:rPr>
              <w:t>Servette</w:t>
            </w:r>
            <w:proofErr w:type="spellEnd"/>
            <w:r w:rsidRPr="00CC77FA">
              <w:rPr>
                <w:rFonts w:ascii="Arial" w:hAnsi="Arial"/>
                <w:sz w:val="18"/>
                <w:szCs w:val="18"/>
              </w:rPr>
              <w:t xml:space="preserve"> und </w:t>
            </w:r>
            <w:proofErr w:type="spellStart"/>
            <w:r w:rsidRPr="00CC77FA">
              <w:rPr>
                <w:rFonts w:ascii="Arial" w:hAnsi="Arial"/>
                <w:sz w:val="18"/>
                <w:szCs w:val="18"/>
              </w:rPr>
              <w:t>Xamax</w:t>
            </w:r>
            <w:proofErr w:type="spellEnd"/>
            <w:r w:rsidRPr="00CC77FA">
              <w:rPr>
                <w:rFonts w:ascii="Arial" w:hAnsi="Arial"/>
                <w:sz w:val="18"/>
                <w:szCs w:val="18"/>
              </w:rPr>
              <w:t>» spricht?</w:t>
            </w:r>
          </w:p>
          <w:p w:rsidR="00CC77FA" w:rsidRPr="00CC77FA" w:rsidRDefault="00CC77FA" w:rsidP="00CC77FA">
            <w:pPr>
              <w:pStyle w:val="Listenabsatz"/>
              <w:ind w:left="426"/>
              <w:rPr>
                <w:rFonts w:ascii="Arial" w:hAnsi="Arial"/>
                <w:sz w:val="18"/>
                <w:szCs w:val="18"/>
              </w:rPr>
            </w:pPr>
          </w:p>
          <w:p w:rsidR="00614605" w:rsidRPr="00CC77FA" w:rsidRDefault="00CC77FA" w:rsidP="00614605">
            <w:pPr>
              <w:pStyle w:val="Listenabsatz"/>
              <w:ind w:left="426"/>
              <w:rPr>
                <w:rFonts w:ascii="Arial" w:hAnsi="Arial"/>
                <w:b/>
                <w:sz w:val="18"/>
                <w:szCs w:val="18"/>
              </w:rPr>
            </w:pPr>
            <w:r w:rsidRPr="00CC77FA">
              <w:rPr>
                <w:rFonts w:ascii="Arial" w:hAnsi="Arial"/>
                <w:b/>
                <w:sz w:val="18"/>
                <w:szCs w:val="18"/>
              </w:rPr>
              <w:t>Auf die möglichen Konkurse (wirtschaftliches Scheitern) und die damit fehlende Lizenz.</w:t>
            </w:r>
          </w:p>
        </w:tc>
      </w:tr>
    </w:tbl>
    <w:p w:rsidR="00C474D0" w:rsidRPr="00A63A92" w:rsidRDefault="00C474D0" w:rsidP="006C1197">
      <w:pPr>
        <w:rPr>
          <w:rFonts w:ascii="Arial" w:hAnsi="Arial"/>
          <w:i/>
          <w:sz w:val="20"/>
          <w:lang w:eastAsia="de-CH"/>
        </w:rPr>
      </w:pPr>
    </w:p>
    <w:sectPr w:rsidR="00C474D0" w:rsidRPr="00A63A92" w:rsidSect="00146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A2" w:rsidRDefault="005475A2">
      <w:r>
        <w:separator/>
      </w:r>
    </w:p>
  </w:endnote>
  <w:endnote w:type="continuationSeparator" w:id="0">
    <w:p w:rsidR="005475A2" w:rsidRDefault="0054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89" w:rsidRDefault="002A53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5475A2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C77F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C77F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5475A2" w:rsidRDefault="005475A2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5475A2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A538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A538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5475A2" w:rsidRDefault="005475A2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A2" w:rsidRDefault="005475A2">
      <w:r>
        <w:separator/>
      </w:r>
    </w:p>
  </w:footnote>
  <w:footnote w:type="continuationSeparator" w:id="0">
    <w:p w:rsidR="005475A2" w:rsidRDefault="00547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89" w:rsidRDefault="002A53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5475A2" w:rsidTr="00A47B59">
      <w:trPr>
        <w:trHeight w:hRule="exact" w:val="227"/>
      </w:trPr>
      <w:tc>
        <w:tcPr>
          <w:tcW w:w="9356" w:type="dxa"/>
          <w:gridSpan w:val="3"/>
        </w:tcPr>
        <w:p w:rsidR="005475A2" w:rsidRPr="008103E2" w:rsidRDefault="005475A2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5475A2" w:rsidTr="00A47B59">
      <w:trPr>
        <w:trHeight w:hRule="exact" w:val="567"/>
      </w:trPr>
      <w:tc>
        <w:tcPr>
          <w:tcW w:w="3932" w:type="dxa"/>
          <w:vMerge w:val="restart"/>
        </w:tcPr>
        <w:p w:rsidR="005475A2" w:rsidRDefault="005475A2" w:rsidP="00A47B59">
          <w:pPr>
            <w:pStyle w:val="Kopfzeile"/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5F27B0E3" wp14:editId="10B9D98C">
                <wp:extent cx="2410565" cy="612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5475A2" w:rsidRDefault="005475A2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5475A2" w:rsidRPr="002D01FD" w:rsidRDefault="005475A2" w:rsidP="00DF4C6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2</w:t>
          </w:r>
        </w:p>
      </w:tc>
    </w:tr>
    <w:tr w:rsidR="005475A2" w:rsidTr="00A47B59">
      <w:trPr>
        <w:trHeight w:hRule="exact" w:val="397"/>
      </w:trPr>
      <w:tc>
        <w:tcPr>
          <w:tcW w:w="3932" w:type="dxa"/>
          <w:vMerge/>
        </w:tcPr>
        <w:p w:rsidR="005475A2" w:rsidRDefault="005475A2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5475A2" w:rsidRDefault="005475A2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5475A2" w:rsidRPr="002D01FD" w:rsidRDefault="005475A2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5475A2" w:rsidTr="00A47B59">
      <w:trPr>
        <w:trHeight w:hRule="exact" w:val="227"/>
      </w:trPr>
      <w:tc>
        <w:tcPr>
          <w:tcW w:w="9356" w:type="dxa"/>
          <w:gridSpan w:val="3"/>
        </w:tcPr>
        <w:p w:rsidR="005475A2" w:rsidRDefault="005475A2" w:rsidP="00A47B59">
          <w:pPr>
            <w:pStyle w:val="Kopfzeile"/>
          </w:pPr>
        </w:p>
      </w:tc>
    </w:tr>
    <w:tr w:rsidR="005475A2" w:rsidTr="00A47B59">
      <w:tc>
        <w:tcPr>
          <w:tcW w:w="9356" w:type="dxa"/>
          <w:gridSpan w:val="3"/>
          <w:shd w:val="clear" w:color="auto" w:fill="C7C0B9"/>
          <w:vAlign w:val="center"/>
        </w:tcPr>
        <w:p w:rsidR="005475A2" w:rsidRPr="00E53CA0" w:rsidRDefault="005475A2" w:rsidP="008E39E3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Geld und Fussball</w:t>
          </w:r>
        </w:p>
      </w:tc>
    </w:tr>
  </w:tbl>
  <w:p w:rsidR="005475A2" w:rsidRPr="00F0097F" w:rsidRDefault="005475A2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5475A2" w:rsidTr="003750C0">
      <w:trPr>
        <w:trHeight w:val="227"/>
      </w:trPr>
      <w:tc>
        <w:tcPr>
          <w:tcW w:w="9356" w:type="dxa"/>
          <w:gridSpan w:val="6"/>
          <w:vAlign w:val="center"/>
        </w:tcPr>
        <w:p w:rsidR="005475A2" w:rsidRPr="00092BCF" w:rsidRDefault="005475A2" w:rsidP="003750C0">
          <w:pPr>
            <w:pStyle w:val="Kopfzeile"/>
            <w:rPr>
              <w:rFonts w:ascii="Arial" w:hAnsi="Arial"/>
              <w:sz w:val="20"/>
            </w:rPr>
          </w:pPr>
        </w:p>
      </w:tc>
    </w:tr>
    <w:tr w:rsidR="005475A2" w:rsidTr="003750C0">
      <w:trPr>
        <w:trHeight w:hRule="exact" w:val="567"/>
      </w:trPr>
      <w:tc>
        <w:tcPr>
          <w:tcW w:w="3932" w:type="dxa"/>
          <w:gridSpan w:val="3"/>
          <w:vMerge w:val="restart"/>
        </w:tcPr>
        <w:p w:rsidR="005475A2" w:rsidRDefault="009176A6" w:rsidP="003750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88BF230" wp14:editId="4BD6EC96">
                <wp:extent cx="2412000" cy="613271"/>
                <wp:effectExtent l="0" t="0" r="762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5475A2" w:rsidRDefault="005475A2" w:rsidP="003750C0">
          <w:pPr>
            <w:pStyle w:val="Kopfzeile"/>
          </w:pPr>
        </w:p>
        <w:p w:rsidR="005475A2" w:rsidRPr="0008046F" w:rsidRDefault="005475A2" w:rsidP="003750C0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5475A2" w:rsidRDefault="005475A2" w:rsidP="00F4296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F4296D">
            <w:rPr>
              <w:rFonts w:ascii="Arial" w:hAnsi="Arial"/>
              <w:b/>
              <w:sz w:val="24"/>
              <w:szCs w:val="24"/>
            </w:rPr>
            <w:t>2</w:t>
          </w:r>
        </w:p>
        <w:p w:rsidR="0071291F" w:rsidRPr="002D01FD" w:rsidRDefault="0071291F" w:rsidP="00F4296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5475A2" w:rsidTr="003750C0">
      <w:trPr>
        <w:trHeight w:hRule="exact" w:val="397"/>
      </w:trPr>
      <w:tc>
        <w:tcPr>
          <w:tcW w:w="3932" w:type="dxa"/>
          <w:gridSpan w:val="3"/>
          <w:vMerge/>
        </w:tcPr>
        <w:p w:rsidR="005475A2" w:rsidRDefault="005475A2" w:rsidP="003750C0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5475A2" w:rsidRPr="002D01FD" w:rsidRDefault="005475A2" w:rsidP="003750C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5475A2" w:rsidTr="003750C0">
      <w:trPr>
        <w:trHeight w:hRule="exact" w:val="227"/>
      </w:trPr>
      <w:tc>
        <w:tcPr>
          <w:tcW w:w="9356" w:type="dxa"/>
          <w:gridSpan w:val="6"/>
        </w:tcPr>
        <w:p w:rsidR="005475A2" w:rsidRPr="00092BCF" w:rsidRDefault="005475A2" w:rsidP="003750C0">
          <w:pPr>
            <w:pStyle w:val="Kopfzeile"/>
            <w:rPr>
              <w:rFonts w:ascii="Arial" w:hAnsi="Arial"/>
              <w:sz w:val="20"/>
            </w:rPr>
          </w:pPr>
        </w:p>
      </w:tc>
    </w:tr>
    <w:tr w:rsidR="005475A2" w:rsidTr="003750C0">
      <w:trPr>
        <w:trHeight w:hRule="exact" w:val="227"/>
      </w:trPr>
      <w:tc>
        <w:tcPr>
          <w:tcW w:w="2762" w:type="dxa"/>
          <w:vMerge w:val="restart"/>
          <w:vAlign w:val="center"/>
        </w:tcPr>
        <w:p w:rsidR="005475A2" w:rsidRDefault="002A5389" w:rsidP="003750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FC98706" wp14:editId="614DC480">
                <wp:extent cx="1663200" cy="93684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ld und Fussb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200" cy="93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170" w:type="dxa"/>
          <w:vMerge w:val="restart"/>
        </w:tcPr>
        <w:p w:rsidR="005475A2" w:rsidRDefault="005475A2" w:rsidP="003750C0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5475A2" w:rsidRPr="002D01FD" w:rsidRDefault="005475A2" w:rsidP="003750C0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5475A2" w:rsidRPr="002D01FD" w:rsidRDefault="005475A2" w:rsidP="003750C0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5475A2" w:rsidTr="003750C0">
      <w:trPr>
        <w:trHeight w:hRule="exact" w:val="454"/>
      </w:trPr>
      <w:tc>
        <w:tcPr>
          <w:tcW w:w="2762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170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5475A2" w:rsidRPr="00C86D4C" w:rsidRDefault="005475A2" w:rsidP="003750C0">
          <w:pPr>
            <w:pStyle w:val="Kopfzeile"/>
            <w:rPr>
              <w:rFonts w:ascii="Arial" w:hAnsi="Arial"/>
              <w:b/>
              <w:sz w:val="16"/>
              <w:szCs w:val="24"/>
            </w:rPr>
          </w:pPr>
        </w:p>
        <w:p w:rsidR="005475A2" w:rsidRPr="002A5389" w:rsidRDefault="005475A2" w:rsidP="004606DB">
          <w:pPr>
            <w:pStyle w:val="Kopfzeile"/>
            <w:rPr>
              <w:rFonts w:ascii="Arial" w:hAnsi="Arial"/>
              <w:b/>
              <w:szCs w:val="22"/>
            </w:rPr>
          </w:pPr>
          <w:r w:rsidRPr="002A5389">
            <w:rPr>
              <w:rFonts w:ascii="Arial" w:hAnsi="Arial"/>
              <w:b/>
              <w:szCs w:val="22"/>
            </w:rPr>
            <w:t>Geld und Fussball</w:t>
          </w:r>
        </w:p>
      </w:tc>
    </w:tr>
    <w:tr w:rsidR="005475A2" w:rsidTr="00B40E89">
      <w:trPr>
        <w:trHeight w:hRule="exact" w:val="811"/>
      </w:trPr>
      <w:tc>
        <w:tcPr>
          <w:tcW w:w="2762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170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4606DB" w:rsidRPr="004606DB" w:rsidRDefault="00F4296D" w:rsidP="00B40E89">
          <w:pPr>
            <w:pStyle w:val="Kopfzeile"/>
            <w:rPr>
              <w:rFonts w:ascii="Arial" w:hAnsi="Arial"/>
              <w:sz w:val="16"/>
            </w:rPr>
          </w:pPr>
          <w:r w:rsidRPr="00035C53">
            <w:rPr>
              <w:rFonts w:ascii="Arial" w:hAnsi="Arial"/>
              <w:sz w:val="16"/>
            </w:rPr>
            <w:t>Millionen-Unternehmen FC Basel</w:t>
          </w:r>
          <w:r>
            <w:rPr>
              <w:rFonts w:ascii="Arial" w:hAnsi="Arial"/>
              <w:sz w:val="16"/>
            </w:rPr>
            <w:t xml:space="preserve"> (ECO, 12.03.2012) 07:10 min</w:t>
          </w:r>
        </w:p>
      </w:tc>
    </w:tr>
  </w:tbl>
  <w:p w:rsidR="005475A2" w:rsidRPr="00F0097F" w:rsidRDefault="005475A2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AB8"/>
    <w:multiLevelType w:val="hybridMultilevel"/>
    <w:tmpl w:val="232221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B7C70"/>
    <w:multiLevelType w:val="hybridMultilevel"/>
    <w:tmpl w:val="3E2C82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C3909"/>
    <w:multiLevelType w:val="hybridMultilevel"/>
    <w:tmpl w:val="88407F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31C22"/>
    <w:multiLevelType w:val="hybridMultilevel"/>
    <w:tmpl w:val="F9863EFA"/>
    <w:lvl w:ilvl="0" w:tplc="8A5425A2">
      <w:start w:val="1"/>
      <w:numFmt w:val="decimal"/>
      <w:lvlText w:val="%1)"/>
      <w:lvlJc w:val="left"/>
      <w:pPr>
        <w:ind w:left="720" w:hanging="360"/>
      </w:pPr>
      <w:rPr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314E8"/>
    <w:multiLevelType w:val="hybridMultilevel"/>
    <w:tmpl w:val="AE987AA2"/>
    <w:lvl w:ilvl="0" w:tplc="456491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420896"/>
    <w:multiLevelType w:val="hybridMultilevel"/>
    <w:tmpl w:val="158E549E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01107"/>
    <w:multiLevelType w:val="hybridMultilevel"/>
    <w:tmpl w:val="1F0EE7B0"/>
    <w:lvl w:ilvl="0" w:tplc="0F7E9D5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0"/>
  </w:num>
  <w:num w:numId="5">
    <w:abstractNumId w:val="19"/>
  </w:num>
  <w:num w:numId="6">
    <w:abstractNumId w:val="16"/>
  </w:num>
  <w:num w:numId="7">
    <w:abstractNumId w:val="6"/>
  </w:num>
  <w:num w:numId="8">
    <w:abstractNumId w:val="2"/>
  </w:num>
  <w:num w:numId="9">
    <w:abstractNumId w:val="18"/>
  </w:num>
  <w:num w:numId="10">
    <w:abstractNumId w:val="3"/>
  </w:num>
  <w:num w:numId="11">
    <w:abstractNumId w:val="11"/>
  </w:num>
  <w:num w:numId="12">
    <w:abstractNumId w:val="1"/>
  </w:num>
  <w:num w:numId="13">
    <w:abstractNumId w:val="17"/>
  </w:num>
  <w:num w:numId="14">
    <w:abstractNumId w:val="14"/>
  </w:num>
  <w:num w:numId="15">
    <w:abstractNumId w:val="15"/>
  </w:num>
  <w:num w:numId="16">
    <w:abstractNumId w:val="9"/>
  </w:num>
  <w:num w:numId="17">
    <w:abstractNumId w:val="13"/>
  </w:num>
  <w:num w:numId="18">
    <w:abstractNumId w:val="8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14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12008"/>
    <w:rsid w:val="000127D3"/>
    <w:rsid w:val="00013301"/>
    <w:rsid w:val="00034C0B"/>
    <w:rsid w:val="000542A1"/>
    <w:rsid w:val="00054A08"/>
    <w:rsid w:val="00061923"/>
    <w:rsid w:val="0006345C"/>
    <w:rsid w:val="00065561"/>
    <w:rsid w:val="00070869"/>
    <w:rsid w:val="00070E33"/>
    <w:rsid w:val="000752ED"/>
    <w:rsid w:val="00084979"/>
    <w:rsid w:val="00085A93"/>
    <w:rsid w:val="00085CEA"/>
    <w:rsid w:val="00086C9A"/>
    <w:rsid w:val="000950B9"/>
    <w:rsid w:val="000A087E"/>
    <w:rsid w:val="000B1B25"/>
    <w:rsid w:val="000B7030"/>
    <w:rsid w:val="000B73FE"/>
    <w:rsid w:val="000C21CF"/>
    <w:rsid w:val="000F1F22"/>
    <w:rsid w:val="000F5955"/>
    <w:rsid w:val="000F750F"/>
    <w:rsid w:val="00101A8C"/>
    <w:rsid w:val="00101BE1"/>
    <w:rsid w:val="00114139"/>
    <w:rsid w:val="001176D3"/>
    <w:rsid w:val="00143CB8"/>
    <w:rsid w:val="00143D26"/>
    <w:rsid w:val="001467F6"/>
    <w:rsid w:val="00150F69"/>
    <w:rsid w:val="00151CE5"/>
    <w:rsid w:val="00152110"/>
    <w:rsid w:val="00166279"/>
    <w:rsid w:val="001748CD"/>
    <w:rsid w:val="001803DA"/>
    <w:rsid w:val="00195A0E"/>
    <w:rsid w:val="001A3224"/>
    <w:rsid w:val="001B3C76"/>
    <w:rsid w:val="001B77E2"/>
    <w:rsid w:val="001D0BC9"/>
    <w:rsid w:val="00200957"/>
    <w:rsid w:val="002049FF"/>
    <w:rsid w:val="002338AA"/>
    <w:rsid w:val="00233B90"/>
    <w:rsid w:val="00244868"/>
    <w:rsid w:val="00253F37"/>
    <w:rsid w:val="00255804"/>
    <w:rsid w:val="002558F8"/>
    <w:rsid w:val="00257F9B"/>
    <w:rsid w:val="00261B90"/>
    <w:rsid w:val="00283B39"/>
    <w:rsid w:val="0028586C"/>
    <w:rsid w:val="002A5389"/>
    <w:rsid w:val="002C3C92"/>
    <w:rsid w:val="002C5156"/>
    <w:rsid w:val="002C6B1D"/>
    <w:rsid w:val="002C6DBD"/>
    <w:rsid w:val="002C744E"/>
    <w:rsid w:val="002D00AC"/>
    <w:rsid w:val="002E077C"/>
    <w:rsid w:val="002E4986"/>
    <w:rsid w:val="002E546B"/>
    <w:rsid w:val="002F39EF"/>
    <w:rsid w:val="00302C5C"/>
    <w:rsid w:val="00323D0D"/>
    <w:rsid w:val="00330A77"/>
    <w:rsid w:val="003429F6"/>
    <w:rsid w:val="003601B9"/>
    <w:rsid w:val="00362952"/>
    <w:rsid w:val="003750C0"/>
    <w:rsid w:val="00380429"/>
    <w:rsid w:val="00384482"/>
    <w:rsid w:val="00386693"/>
    <w:rsid w:val="003B7E23"/>
    <w:rsid w:val="003D3134"/>
    <w:rsid w:val="003D621C"/>
    <w:rsid w:val="003E7FF0"/>
    <w:rsid w:val="003F6BE6"/>
    <w:rsid w:val="003F77BE"/>
    <w:rsid w:val="00410447"/>
    <w:rsid w:val="00415BC5"/>
    <w:rsid w:val="0044097B"/>
    <w:rsid w:val="00442666"/>
    <w:rsid w:val="0044293F"/>
    <w:rsid w:val="00451D90"/>
    <w:rsid w:val="004554C2"/>
    <w:rsid w:val="004606DB"/>
    <w:rsid w:val="00470262"/>
    <w:rsid w:val="00480092"/>
    <w:rsid w:val="00484370"/>
    <w:rsid w:val="00485C23"/>
    <w:rsid w:val="00491FA5"/>
    <w:rsid w:val="00492EE6"/>
    <w:rsid w:val="00497544"/>
    <w:rsid w:val="004B0B5D"/>
    <w:rsid w:val="004B1968"/>
    <w:rsid w:val="004B6E8A"/>
    <w:rsid w:val="004C3AF7"/>
    <w:rsid w:val="004C40A4"/>
    <w:rsid w:val="004D49D5"/>
    <w:rsid w:val="004E0446"/>
    <w:rsid w:val="004E267D"/>
    <w:rsid w:val="004E5D66"/>
    <w:rsid w:val="004F1B50"/>
    <w:rsid w:val="005149F7"/>
    <w:rsid w:val="00516997"/>
    <w:rsid w:val="005421AF"/>
    <w:rsid w:val="00543A6C"/>
    <w:rsid w:val="005475A2"/>
    <w:rsid w:val="0056227C"/>
    <w:rsid w:val="005734DC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D38"/>
    <w:rsid w:val="005F6BBF"/>
    <w:rsid w:val="00601ECB"/>
    <w:rsid w:val="00614018"/>
    <w:rsid w:val="00614605"/>
    <w:rsid w:val="006524D0"/>
    <w:rsid w:val="00661563"/>
    <w:rsid w:val="00667D87"/>
    <w:rsid w:val="00671A02"/>
    <w:rsid w:val="006837EB"/>
    <w:rsid w:val="00692287"/>
    <w:rsid w:val="00695AC4"/>
    <w:rsid w:val="00696D22"/>
    <w:rsid w:val="006A0C06"/>
    <w:rsid w:val="006A3A72"/>
    <w:rsid w:val="006C1197"/>
    <w:rsid w:val="006D1C8D"/>
    <w:rsid w:val="006E2F5F"/>
    <w:rsid w:val="006E6675"/>
    <w:rsid w:val="006E7C95"/>
    <w:rsid w:val="006F0AE2"/>
    <w:rsid w:val="007027A0"/>
    <w:rsid w:val="0070285A"/>
    <w:rsid w:val="0071291F"/>
    <w:rsid w:val="00724A6B"/>
    <w:rsid w:val="00725421"/>
    <w:rsid w:val="00727FA1"/>
    <w:rsid w:val="00755E23"/>
    <w:rsid w:val="00766C9D"/>
    <w:rsid w:val="007710E0"/>
    <w:rsid w:val="007776A8"/>
    <w:rsid w:val="00790266"/>
    <w:rsid w:val="00793AB2"/>
    <w:rsid w:val="00796C17"/>
    <w:rsid w:val="007B0B1A"/>
    <w:rsid w:val="007B5612"/>
    <w:rsid w:val="007B615D"/>
    <w:rsid w:val="007C29FB"/>
    <w:rsid w:val="007F5172"/>
    <w:rsid w:val="008157D9"/>
    <w:rsid w:val="0081613A"/>
    <w:rsid w:val="00833799"/>
    <w:rsid w:val="008338DE"/>
    <w:rsid w:val="00837C30"/>
    <w:rsid w:val="00854008"/>
    <w:rsid w:val="00863425"/>
    <w:rsid w:val="008638DA"/>
    <w:rsid w:val="008730DE"/>
    <w:rsid w:val="008750A5"/>
    <w:rsid w:val="0089406F"/>
    <w:rsid w:val="008A249F"/>
    <w:rsid w:val="008B2AC2"/>
    <w:rsid w:val="008C13CF"/>
    <w:rsid w:val="008C2425"/>
    <w:rsid w:val="008E39E3"/>
    <w:rsid w:val="008E4517"/>
    <w:rsid w:val="008E6883"/>
    <w:rsid w:val="008E6B2D"/>
    <w:rsid w:val="008F11F0"/>
    <w:rsid w:val="0090365D"/>
    <w:rsid w:val="00910E06"/>
    <w:rsid w:val="009176A6"/>
    <w:rsid w:val="00931A69"/>
    <w:rsid w:val="00932042"/>
    <w:rsid w:val="00937AF7"/>
    <w:rsid w:val="009463F4"/>
    <w:rsid w:val="00975CC9"/>
    <w:rsid w:val="00976744"/>
    <w:rsid w:val="0098167D"/>
    <w:rsid w:val="00983443"/>
    <w:rsid w:val="0098392B"/>
    <w:rsid w:val="009949D4"/>
    <w:rsid w:val="009A2BBB"/>
    <w:rsid w:val="009B1364"/>
    <w:rsid w:val="009C12F7"/>
    <w:rsid w:val="009C45EE"/>
    <w:rsid w:val="009C49C1"/>
    <w:rsid w:val="009C63F8"/>
    <w:rsid w:val="009D3823"/>
    <w:rsid w:val="009E2D1C"/>
    <w:rsid w:val="009E7A31"/>
    <w:rsid w:val="009F16F3"/>
    <w:rsid w:val="00A120DD"/>
    <w:rsid w:val="00A130C7"/>
    <w:rsid w:val="00A306EE"/>
    <w:rsid w:val="00A30917"/>
    <w:rsid w:val="00A427DC"/>
    <w:rsid w:val="00A44367"/>
    <w:rsid w:val="00A46D74"/>
    <w:rsid w:val="00A47B59"/>
    <w:rsid w:val="00A51962"/>
    <w:rsid w:val="00A52B69"/>
    <w:rsid w:val="00A533BC"/>
    <w:rsid w:val="00A63A92"/>
    <w:rsid w:val="00A82058"/>
    <w:rsid w:val="00A82D35"/>
    <w:rsid w:val="00A97938"/>
    <w:rsid w:val="00AB0191"/>
    <w:rsid w:val="00AB76C5"/>
    <w:rsid w:val="00AC4249"/>
    <w:rsid w:val="00AC6957"/>
    <w:rsid w:val="00AF60CF"/>
    <w:rsid w:val="00B008FF"/>
    <w:rsid w:val="00B07FF4"/>
    <w:rsid w:val="00B179D8"/>
    <w:rsid w:val="00B25039"/>
    <w:rsid w:val="00B27228"/>
    <w:rsid w:val="00B27FCE"/>
    <w:rsid w:val="00B31E92"/>
    <w:rsid w:val="00B3347B"/>
    <w:rsid w:val="00B34CB3"/>
    <w:rsid w:val="00B359CE"/>
    <w:rsid w:val="00B40E89"/>
    <w:rsid w:val="00B45A96"/>
    <w:rsid w:val="00B4742B"/>
    <w:rsid w:val="00B50CFA"/>
    <w:rsid w:val="00B53642"/>
    <w:rsid w:val="00B55FEF"/>
    <w:rsid w:val="00B63CB0"/>
    <w:rsid w:val="00B64311"/>
    <w:rsid w:val="00B72991"/>
    <w:rsid w:val="00B87E56"/>
    <w:rsid w:val="00BA620B"/>
    <w:rsid w:val="00BB1A5B"/>
    <w:rsid w:val="00BB2564"/>
    <w:rsid w:val="00BB5BC5"/>
    <w:rsid w:val="00BC7FD9"/>
    <w:rsid w:val="00BF26B5"/>
    <w:rsid w:val="00BF7FC2"/>
    <w:rsid w:val="00C053BF"/>
    <w:rsid w:val="00C06F30"/>
    <w:rsid w:val="00C11D92"/>
    <w:rsid w:val="00C15202"/>
    <w:rsid w:val="00C313CB"/>
    <w:rsid w:val="00C326C3"/>
    <w:rsid w:val="00C33582"/>
    <w:rsid w:val="00C43BF6"/>
    <w:rsid w:val="00C474D0"/>
    <w:rsid w:val="00C52408"/>
    <w:rsid w:val="00C52C83"/>
    <w:rsid w:val="00C62402"/>
    <w:rsid w:val="00C65946"/>
    <w:rsid w:val="00C66CEA"/>
    <w:rsid w:val="00C712A2"/>
    <w:rsid w:val="00C75C8B"/>
    <w:rsid w:val="00C772C7"/>
    <w:rsid w:val="00C87F25"/>
    <w:rsid w:val="00C925BD"/>
    <w:rsid w:val="00C97378"/>
    <w:rsid w:val="00CA632C"/>
    <w:rsid w:val="00CA6CE3"/>
    <w:rsid w:val="00CB15CC"/>
    <w:rsid w:val="00CB26E5"/>
    <w:rsid w:val="00CB2E4A"/>
    <w:rsid w:val="00CB352B"/>
    <w:rsid w:val="00CB5C14"/>
    <w:rsid w:val="00CC77FA"/>
    <w:rsid w:val="00CE0655"/>
    <w:rsid w:val="00CE62FC"/>
    <w:rsid w:val="00CF6166"/>
    <w:rsid w:val="00D02B53"/>
    <w:rsid w:val="00D06954"/>
    <w:rsid w:val="00D14C39"/>
    <w:rsid w:val="00D17217"/>
    <w:rsid w:val="00D23902"/>
    <w:rsid w:val="00D34455"/>
    <w:rsid w:val="00D37D9B"/>
    <w:rsid w:val="00D40DCD"/>
    <w:rsid w:val="00D413D7"/>
    <w:rsid w:val="00D41A91"/>
    <w:rsid w:val="00D42245"/>
    <w:rsid w:val="00D55826"/>
    <w:rsid w:val="00D63BB7"/>
    <w:rsid w:val="00D74C30"/>
    <w:rsid w:val="00D76196"/>
    <w:rsid w:val="00D80548"/>
    <w:rsid w:val="00D94E4B"/>
    <w:rsid w:val="00DA5954"/>
    <w:rsid w:val="00DA6E1D"/>
    <w:rsid w:val="00DB3140"/>
    <w:rsid w:val="00DC13CC"/>
    <w:rsid w:val="00DD166A"/>
    <w:rsid w:val="00DE57F4"/>
    <w:rsid w:val="00DE59E0"/>
    <w:rsid w:val="00DF4C62"/>
    <w:rsid w:val="00E0074C"/>
    <w:rsid w:val="00E25EBF"/>
    <w:rsid w:val="00E311EC"/>
    <w:rsid w:val="00E35418"/>
    <w:rsid w:val="00E35905"/>
    <w:rsid w:val="00E55362"/>
    <w:rsid w:val="00E64749"/>
    <w:rsid w:val="00E647A1"/>
    <w:rsid w:val="00E6586B"/>
    <w:rsid w:val="00E66FF5"/>
    <w:rsid w:val="00E93606"/>
    <w:rsid w:val="00EA1D38"/>
    <w:rsid w:val="00EA3E38"/>
    <w:rsid w:val="00EA4561"/>
    <w:rsid w:val="00EA73F2"/>
    <w:rsid w:val="00EC5921"/>
    <w:rsid w:val="00ED0463"/>
    <w:rsid w:val="00ED4DF3"/>
    <w:rsid w:val="00EE01AC"/>
    <w:rsid w:val="00EE6841"/>
    <w:rsid w:val="00EE77E0"/>
    <w:rsid w:val="00EF6A64"/>
    <w:rsid w:val="00EF6B03"/>
    <w:rsid w:val="00F0097F"/>
    <w:rsid w:val="00F04F84"/>
    <w:rsid w:val="00F13473"/>
    <w:rsid w:val="00F16CD2"/>
    <w:rsid w:val="00F25022"/>
    <w:rsid w:val="00F42928"/>
    <w:rsid w:val="00F4296D"/>
    <w:rsid w:val="00F547CC"/>
    <w:rsid w:val="00F6737F"/>
    <w:rsid w:val="00F92083"/>
    <w:rsid w:val="00FB168D"/>
    <w:rsid w:val="00FC199E"/>
    <w:rsid w:val="00FC6FFB"/>
    <w:rsid w:val="00FD6C6E"/>
    <w:rsid w:val="00FF03D8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74D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B1A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BB1A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74D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B1A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BB1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521E-C91F-4D67-8BFC-4D1B2E68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343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2337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11</cp:revision>
  <cp:lastPrinted>2012-11-28T12:56:00Z</cp:lastPrinted>
  <dcterms:created xsi:type="dcterms:W3CDTF">2013-01-24T14:57:00Z</dcterms:created>
  <dcterms:modified xsi:type="dcterms:W3CDTF">2013-01-24T16:23:00Z</dcterms:modified>
  <cp:category>Zuma Vorlage phe</cp:category>
</cp:coreProperties>
</file>