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3347B" w:rsidTr="00D46367">
        <w:tc>
          <w:tcPr>
            <w:tcW w:w="9356" w:type="dxa"/>
          </w:tcPr>
          <w:p w:rsidR="00B3347B" w:rsidRDefault="00B3347B" w:rsidP="00BB1A5B">
            <w:pPr>
              <w:rPr>
                <w:rFonts w:ascii="Arial" w:hAnsi="Arial"/>
                <w:sz w:val="20"/>
              </w:rPr>
            </w:pPr>
          </w:p>
        </w:tc>
      </w:tr>
      <w:tr w:rsidR="00B3347B" w:rsidTr="00D46367">
        <w:tc>
          <w:tcPr>
            <w:tcW w:w="9356" w:type="dxa"/>
          </w:tcPr>
          <w:p w:rsidR="00B3347B" w:rsidRPr="008E7B6D" w:rsidRDefault="003F06B3" w:rsidP="00D12DC2">
            <w:pPr>
              <w:rPr>
                <w:rFonts w:ascii="Arial" w:hAnsi="Arial"/>
                <w:b/>
                <w:sz w:val="18"/>
                <w:szCs w:val="18"/>
              </w:rPr>
            </w:pPr>
            <w:r w:rsidRPr="008E7B6D">
              <w:rPr>
                <w:rFonts w:ascii="Arial" w:hAnsi="Arial"/>
                <w:b/>
                <w:sz w:val="18"/>
                <w:szCs w:val="18"/>
              </w:rPr>
              <w:t xml:space="preserve">Beantworten Sie nach der Sichtung </w:t>
            </w:r>
            <w:r w:rsidR="00D43B7C" w:rsidRPr="008E7B6D">
              <w:rPr>
                <w:rFonts w:ascii="Arial" w:hAnsi="Arial"/>
                <w:b/>
                <w:sz w:val="18"/>
                <w:szCs w:val="18"/>
              </w:rPr>
              <w:t>des Interviews</w:t>
            </w:r>
            <w:r w:rsidRPr="008E7B6D">
              <w:rPr>
                <w:rFonts w:ascii="Arial" w:hAnsi="Arial"/>
                <w:b/>
                <w:sz w:val="18"/>
                <w:szCs w:val="18"/>
              </w:rPr>
              <w:t xml:space="preserve"> die Fragen 1 bis </w:t>
            </w:r>
            <w:r w:rsidR="00D12DC2">
              <w:rPr>
                <w:rFonts w:ascii="Arial" w:hAnsi="Arial"/>
                <w:b/>
                <w:sz w:val="18"/>
                <w:szCs w:val="18"/>
              </w:rPr>
              <w:t>5</w:t>
            </w:r>
            <w:r w:rsidRPr="008E7B6D">
              <w:rPr>
                <w:rFonts w:ascii="Arial" w:hAnsi="Arial"/>
                <w:b/>
                <w:sz w:val="18"/>
                <w:szCs w:val="18"/>
              </w:rPr>
              <w:t>.</w:t>
            </w:r>
          </w:p>
        </w:tc>
      </w:tr>
      <w:tr w:rsidR="00B3347B" w:rsidTr="00D46367">
        <w:tc>
          <w:tcPr>
            <w:tcW w:w="9356" w:type="dxa"/>
          </w:tcPr>
          <w:p w:rsidR="00B3347B" w:rsidRPr="008E7B6D" w:rsidRDefault="00B3347B" w:rsidP="00BB1A5B">
            <w:pPr>
              <w:rPr>
                <w:rFonts w:ascii="Arial" w:hAnsi="Arial"/>
                <w:sz w:val="18"/>
                <w:szCs w:val="18"/>
              </w:rPr>
            </w:pPr>
          </w:p>
        </w:tc>
      </w:tr>
      <w:tr w:rsidR="00B3347B" w:rsidTr="00D46367">
        <w:tc>
          <w:tcPr>
            <w:tcW w:w="9356" w:type="dxa"/>
          </w:tcPr>
          <w:p w:rsidR="00B3347B" w:rsidRPr="008E7B6D" w:rsidRDefault="00DF04C2" w:rsidP="00912111">
            <w:pPr>
              <w:pStyle w:val="Listenabsatz"/>
              <w:numPr>
                <w:ilvl w:val="0"/>
                <w:numId w:val="22"/>
              </w:numPr>
              <w:ind w:left="426" w:hanging="426"/>
              <w:rPr>
                <w:rFonts w:ascii="Arial" w:hAnsi="Arial"/>
                <w:sz w:val="18"/>
                <w:szCs w:val="18"/>
              </w:rPr>
            </w:pPr>
            <w:r w:rsidRPr="008E7B6D">
              <w:rPr>
                <w:rFonts w:ascii="Arial" w:hAnsi="Arial"/>
                <w:sz w:val="18"/>
                <w:szCs w:val="18"/>
              </w:rPr>
              <w:t xml:space="preserve">Was bedeutet das «Aktivieren eines Spielers»? </w:t>
            </w:r>
          </w:p>
          <w:p w:rsidR="00912111" w:rsidRPr="008E7B6D" w:rsidRDefault="00912111" w:rsidP="00912111">
            <w:pPr>
              <w:pStyle w:val="Listenabsatz"/>
              <w:ind w:left="426"/>
              <w:rPr>
                <w:rFonts w:ascii="Arial" w:hAnsi="Arial"/>
                <w:sz w:val="18"/>
                <w:szCs w:val="18"/>
              </w:rPr>
            </w:pPr>
          </w:p>
          <w:p w:rsidR="00912111" w:rsidRPr="008E7B6D" w:rsidRDefault="00912111" w:rsidP="009B5B17">
            <w:pPr>
              <w:pStyle w:val="Listenabsatz"/>
              <w:ind w:left="426"/>
              <w:rPr>
                <w:rFonts w:ascii="Arial" w:hAnsi="Arial"/>
                <w:b/>
                <w:sz w:val="18"/>
                <w:szCs w:val="18"/>
              </w:rPr>
            </w:pPr>
            <w:r w:rsidRPr="008E7B6D">
              <w:rPr>
                <w:rFonts w:ascii="Arial" w:hAnsi="Arial"/>
                <w:b/>
                <w:sz w:val="18"/>
                <w:szCs w:val="18"/>
              </w:rPr>
              <w:t>Der Wert eines Spielers wird in der Buchhaltung verbucht und als Vermögensposition in der Bilanz ausgewiesen. Weil man das Vermögen in der Fachsprache als «Aktiven» bezeichnet, und diese B</w:t>
            </w:r>
            <w:r w:rsidRPr="008E7B6D">
              <w:rPr>
                <w:rFonts w:ascii="Arial" w:hAnsi="Arial"/>
                <w:b/>
                <w:sz w:val="18"/>
                <w:szCs w:val="18"/>
              </w:rPr>
              <w:t>u</w:t>
            </w:r>
            <w:r w:rsidRPr="008E7B6D">
              <w:rPr>
                <w:rFonts w:ascii="Arial" w:hAnsi="Arial"/>
                <w:b/>
                <w:sz w:val="18"/>
                <w:szCs w:val="18"/>
              </w:rPr>
              <w:t xml:space="preserve">chung in ein Aktivkonto erfolgt, spricht man vom «Aktivieren». Siehe auch Antwort zu Frage </w:t>
            </w:r>
            <w:r w:rsidR="009B5B17" w:rsidRPr="008E7B6D">
              <w:rPr>
                <w:rFonts w:ascii="Arial" w:hAnsi="Arial"/>
                <w:b/>
                <w:sz w:val="18"/>
                <w:szCs w:val="18"/>
              </w:rPr>
              <w:t>2</w:t>
            </w:r>
            <w:r w:rsidRPr="008E7B6D">
              <w:rPr>
                <w:rFonts w:ascii="Arial" w:hAnsi="Arial"/>
                <w:b/>
                <w:sz w:val="18"/>
                <w:szCs w:val="18"/>
              </w:rPr>
              <w:t>.</w:t>
            </w:r>
          </w:p>
        </w:tc>
      </w:tr>
      <w:tr w:rsidR="00B3347B" w:rsidTr="00D46367">
        <w:tc>
          <w:tcPr>
            <w:tcW w:w="9356" w:type="dxa"/>
          </w:tcPr>
          <w:p w:rsidR="00B3347B" w:rsidRPr="008E7B6D" w:rsidRDefault="00B3347B" w:rsidP="00B3347B">
            <w:pPr>
              <w:tabs>
                <w:tab w:val="left" w:pos="6200"/>
              </w:tabs>
              <w:rPr>
                <w:rFonts w:ascii="Arial" w:hAnsi="Arial"/>
                <w:sz w:val="18"/>
                <w:szCs w:val="18"/>
              </w:rPr>
            </w:pPr>
            <w:r w:rsidRPr="008E7B6D">
              <w:rPr>
                <w:rFonts w:ascii="Arial" w:hAnsi="Arial"/>
                <w:sz w:val="18"/>
                <w:szCs w:val="18"/>
              </w:rPr>
              <w:tab/>
            </w:r>
          </w:p>
        </w:tc>
      </w:tr>
      <w:tr w:rsidR="00B3347B" w:rsidTr="00D46367">
        <w:tc>
          <w:tcPr>
            <w:tcW w:w="9356" w:type="dxa"/>
          </w:tcPr>
          <w:p w:rsidR="00B3347B" w:rsidRPr="008E7B6D" w:rsidRDefault="00B82006" w:rsidP="00DA0203">
            <w:pPr>
              <w:pStyle w:val="Listenabsatz"/>
              <w:numPr>
                <w:ilvl w:val="0"/>
                <w:numId w:val="22"/>
              </w:numPr>
              <w:ind w:left="426" w:hanging="426"/>
              <w:rPr>
                <w:rFonts w:ascii="Arial" w:hAnsi="Arial"/>
                <w:sz w:val="18"/>
                <w:szCs w:val="18"/>
              </w:rPr>
            </w:pPr>
            <w:r w:rsidRPr="008E7B6D">
              <w:rPr>
                <w:rFonts w:ascii="Arial" w:hAnsi="Arial"/>
                <w:sz w:val="18"/>
                <w:szCs w:val="18"/>
              </w:rPr>
              <w:t xml:space="preserve">In welcher Kontogruppe müssen die Spieler des FCB in der Bilanz ersichtlich sein und warum? </w:t>
            </w:r>
          </w:p>
          <w:p w:rsidR="00DA0203" w:rsidRPr="008E7B6D" w:rsidRDefault="00DA0203" w:rsidP="00DA0203">
            <w:pPr>
              <w:pStyle w:val="Listenabsatz"/>
              <w:ind w:left="426"/>
              <w:rPr>
                <w:rFonts w:ascii="Arial" w:hAnsi="Arial"/>
                <w:sz w:val="18"/>
                <w:szCs w:val="18"/>
              </w:rPr>
            </w:pPr>
          </w:p>
          <w:p w:rsidR="00DA0203" w:rsidRPr="008E7B6D" w:rsidRDefault="00DA0203" w:rsidP="00DA0203">
            <w:pPr>
              <w:pStyle w:val="Listenabsatz"/>
              <w:ind w:left="426"/>
              <w:rPr>
                <w:rFonts w:ascii="Arial" w:hAnsi="Arial"/>
                <w:b/>
                <w:sz w:val="18"/>
                <w:szCs w:val="18"/>
              </w:rPr>
            </w:pPr>
            <w:r w:rsidRPr="008E7B6D">
              <w:rPr>
                <w:rFonts w:ascii="Arial" w:hAnsi="Arial"/>
                <w:b/>
                <w:sz w:val="18"/>
                <w:szCs w:val="18"/>
              </w:rPr>
              <w:t>Sie gehören zum Anlagevermögen, weil die Spieler in der Regel einen mehrjährigen Arbeitsvertrag e</w:t>
            </w:r>
            <w:r w:rsidRPr="008E7B6D">
              <w:rPr>
                <w:rFonts w:ascii="Arial" w:hAnsi="Arial"/>
                <w:b/>
                <w:sz w:val="18"/>
                <w:szCs w:val="18"/>
              </w:rPr>
              <w:t>r</w:t>
            </w:r>
            <w:r w:rsidRPr="008E7B6D">
              <w:rPr>
                <w:rFonts w:ascii="Arial" w:hAnsi="Arial"/>
                <w:b/>
                <w:sz w:val="18"/>
                <w:szCs w:val="18"/>
              </w:rPr>
              <w:t>halten und sie deshalb dem Klub längerfristig zur Verfügung stehen. Die Faust-regel besagt, dass Vermögenswerte, welche eine Nutzungsdauer von mehr als einem Jahr aufweisen, im Anlageverm</w:t>
            </w:r>
            <w:r w:rsidRPr="008E7B6D">
              <w:rPr>
                <w:rFonts w:ascii="Arial" w:hAnsi="Arial"/>
                <w:b/>
                <w:sz w:val="18"/>
                <w:szCs w:val="18"/>
              </w:rPr>
              <w:t>ö</w:t>
            </w:r>
            <w:r w:rsidRPr="008E7B6D">
              <w:rPr>
                <w:rFonts w:ascii="Arial" w:hAnsi="Arial"/>
                <w:b/>
                <w:sz w:val="18"/>
                <w:szCs w:val="18"/>
              </w:rPr>
              <w:t>gen zu aktivieren und über die Nutzungsdauer abzuschreiben sind. In der Buchhaltung des FCB AG heisst das entsprechende Aktivkonto «Transferrechte».</w:t>
            </w:r>
          </w:p>
        </w:tc>
      </w:tr>
      <w:tr w:rsidR="00B3347B" w:rsidTr="00D46367">
        <w:tc>
          <w:tcPr>
            <w:tcW w:w="9356" w:type="dxa"/>
          </w:tcPr>
          <w:p w:rsidR="00B3347B" w:rsidRPr="008E7B6D" w:rsidRDefault="00B3347B" w:rsidP="00BB1A5B">
            <w:pPr>
              <w:rPr>
                <w:rFonts w:ascii="Arial" w:hAnsi="Arial"/>
                <w:sz w:val="18"/>
                <w:szCs w:val="18"/>
              </w:rPr>
            </w:pPr>
          </w:p>
        </w:tc>
      </w:tr>
      <w:tr w:rsidR="00B3347B" w:rsidTr="00D46367">
        <w:tc>
          <w:tcPr>
            <w:tcW w:w="9356" w:type="dxa"/>
          </w:tcPr>
          <w:p w:rsidR="009C63F8" w:rsidRPr="008E7B6D" w:rsidRDefault="002B49F7" w:rsidP="009B5B17">
            <w:pPr>
              <w:pStyle w:val="Listenabsatz"/>
              <w:numPr>
                <w:ilvl w:val="0"/>
                <w:numId w:val="22"/>
              </w:numPr>
              <w:ind w:left="426" w:hanging="426"/>
              <w:rPr>
                <w:rFonts w:ascii="Arial" w:hAnsi="Arial"/>
                <w:sz w:val="18"/>
                <w:szCs w:val="18"/>
              </w:rPr>
            </w:pPr>
            <w:r w:rsidRPr="008E7B6D">
              <w:rPr>
                <w:rFonts w:ascii="Arial" w:hAnsi="Arial"/>
                <w:sz w:val="18"/>
                <w:szCs w:val="18"/>
              </w:rPr>
              <w:t xml:space="preserve">Erklären Sie, woraus die stillen Reserven beim FCB bestehen und wie sie entstanden sind. </w:t>
            </w:r>
          </w:p>
          <w:p w:rsidR="009B5B17" w:rsidRPr="008E7B6D" w:rsidRDefault="009B5B17" w:rsidP="009B5B17">
            <w:pPr>
              <w:pStyle w:val="Listenabsatz"/>
              <w:ind w:left="426"/>
              <w:rPr>
                <w:rFonts w:ascii="Arial" w:hAnsi="Arial"/>
                <w:sz w:val="18"/>
                <w:szCs w:val="18"/>
              </w:rPr>
            </w:pPr>
          </w:p>
          <w:p w:rsidR="009B5B17" w:rsidRPr="008E7B6D" w:rsidRDefault="009B5B17" w:rsidP="009B5B17">
            <w:pPr>
              <w:pStyle w:val="Kopfzeile"/>
              <w:tabs>
                <w:tab w:val="clear" w:pos="4536"/>
                <w:tab w:val="clear" w:pos="9072"/>
              </w:tabs>
              <w:ind w:left="426"/>
              <w:rPr>
                <w:rFonts w:ascii="Arial" w:hAnsi="Arial"/>
                <w:b/>
                <w:sz w:val="18"/>
                <w:szCs w:val="18"/>
              </w:rPr>
            </w:pPr>
            <w:r w:rsidRPr="008E7B6D">
              <w:rPr>
                <w:rFonts w:ascii="Arial" w:hAnsi="Arial"/>
                <w:b/>
                <w:sz w:val="18"/>
                <w:szCs w:val="18"/>
              </w:rPr>
              <w:t xml:space="preserve">Die jungen Nachwuchsspieler kosten den FCB in Einkauf keinen Franken. Sie werden vom FCB von Grund auf trainiert und im besten Fall in der 1. Mannschaft eingesetzt. Wenn es talentierte Spieler wie </w:t>
            </w:r>
            <w:proofErr w:type="spellStart"/>
            <w:r w:rsidRPr="008E7B6D">
              <w:rPr>
                <w:rFonts w:ascii="Arial" w:hAnsi="Arial"/>
                <w:b/>
                <w:sz w:val="18"/>
                <w:szCs w:val="18"/>
              </w:rPr>
              <w:t>Xherdan</w:t>
            </w:r>
            <w:proofErr w:type="spellEnd"/>
            <w:r w:rsidRPr="008E7B6D">
              <w:rPr>
                <w:rFonts w:ascii="Arial" w:hAnsi="Arial"/>
                <w:b/>
                <w:sz w:val="18"/>
                <w:szCs w:val="18"/>
              </w:rPr>
              <w:t xml:space="preserve"> </w:t>
            </w:r>
            <w:proofErr w:type="spellStart"/>
            <w:r w:rsidRPr="008E7B6D">
              <w:rPr>
                <w:rFonts w:ascii="Arial" w:hAnsi="Arial"/>
                <w:b/>
                <w:sz w:val="18"/>
                <w:szCs w:val="18"/>
              </w:rPr>
              <w:t>Shaqiri</w:t>
            </w:r>
            <w:proofErr w:type="spellEnd"/>
            <w:r w:rsidRPr="008E7B6D">
              <w:rPr>
                <w:rFonts w:ascii="Arial" w:hAnsi="Arial"/>
                <w:b/>
                <w:sz w:val="18"/>
                <w:szCs w:val="18"/>
              </w:rPr>
              <w:t xml:space="preserve"> oder Granit </w:t>
            </w:r>
            <w:proofErr w:type="spellStart"/>
            <w:r w:rsidRPr="008E7B6D">
              <w:rPr>
                <w:rFonts w:ascii="Arial" w:hAnsi="Arial"/>
                <w:b/>
                <w:sz w:val="18"/>
                <w:szCs w:val="18"/>
              </w:rPr>
              <w:t>Xhaka</w:t>
            </w:r>
            <w:proofErr w:type="spellEnd"/>
            <w:r w:rsidRPr="008E7B6D">
              <w:rPr>
                <w:rFonts w:ascii="Arial" w:hAnsi="Arial"/>
                <w:b/>
                <w:sz w:val="18"/>
                <w:szCs w:val="18"/>
              </w:rPr>
              <w:t xml:space="preserve"> schaffen, sich auf dem internationalem Parkett in der Champions League zu präsentieren, steigt deren Transferpreis (Marktwert) in Millionenhöhe. Die Ablösesummen (Verkaufspreise) der zwei Top-Spieler beliefen sich im Jahr 2012 auf CHF 14‘750‘000 (</w:t>
            </w:r>
            <w:proofErr w:type="spellStart"/>
            <w:r w:rsidRPr="008E7B6D">
              <w:rPr>
                <w:rFonts w:ascii="Arial" w:hAnsi="Arial"/>
                <w:b/>
                <w:sz w:val="18"/>
                <w:szCs w:val="18"/>
              </w:rPr>
              <w:t>Shaqiri</w:t>
            </w:r>
            <w:proofErr w:type="spellEnd"/>
            <w:r w:rsidRPr="008E7B6D">
              <w:rPr>
                <w:rFonts w:ascii="Arial" w:hAnsi="Arial"/>
                <w:b/>
                <w:sz w:val="18"/>
                <w:szCs w:val="18"/>
              </w:rPr>
              <w:t>) und CHF 10‘625‘000 (</w:t>
            </w:r>
            <w:proofErr w:type="spellStart"/>
            <w:r w:rsidRPr="008E7B6D">
              <w:rPr>
                <w:rFonts w:ascii="Arial" w:hAnsi="Arial"/>
                <w:b/>
                <w:sz w:val="18"/>
                <w:szCs w:val="18"/>
              </w:rPr>
              <w:t>Xhaka</w:t>
            </w:r>
            <w:proofErr w:type="spellEnd"/>
            <w:r w:rsidRPr="008E7B6D">
              <w:rPr>
                <w:rFonts w:ascii="Arial" w:hAnsi="Arial"/>
                <w:b/>
                <w:sz w:val="18"/>
                <w:szCs w:val="18"/>
              </w:rPr>
              <w:t>). Somit verfügte der FCB über zwei Vermögenswerte über CHF 25 Mio., welche aber in der Buchhaltung vor dem Verkauf nie ersichtlich waren. Das sind stille Reserven.</w:t>
            </w:r>
          </w:p>
        </w:tc>
      </w:tr>
      <w:tr w:rsidR="00283B39" w:rsidTr="00D46367">
        <w:tc>
          <w:tcPr>
            <w:tcW w:w="9356" w:type="dxa"/>
          </w:tcPr>
          <w:p w:rsidR="00283B39" w:rsidRPr="008E7B6D" w:rsidRDefault="00283B39" w:rsidP="009C63F8">
            <w:pPr>
              <w:ind w:left="426" w:hanging="426"/>
              <w:rPr>
                <w:rFonts w:ascii="Arial" w:hAnsi="Arial"/>
                <w:sz w:val="18"/>
                <w:szCs w:val="18"/>
              </w:rPr>
            </w:pPr>
          </w:p>
        </w:tc>
      </w:tr>
      <w:tr w:rsidR="00A2710C" w:rsidTr="00D46367">
        <w:tc>
          <w:tcPr>
            <w:tcW w:w="9356" w:type="dxa"/>
          </w:tcPr>
          <w:p w:rsidR="00AD2F6E" w:rsidRPr="008E7B6D" w:rsidRDefault="00A2710C" w:rsidP="00AD2F6E">
            <w:pPr>
              <w:pStyle w:val="Listenabsatz"/>
              <w:numPr>
                <w:ilvl w:val="0"/>
                <w:numId w:val="22"/>
              </w:numPr>
              <w:ind w:left="426" w:hanging="426"/>
              <w:rPr>
                <w:rFonts w:ascii="Arial" w:hAnsi="Arial"/>
                <w:sz w:val="18"/>
                <w:szCs w:val="18"/>
              </w:rPr>
            </w:pPr>
            <w:r w:rsidRPr="008E7B6D">
              <w:rPr>
                <w:rFonts w:ascii="Arial" w:hAnsi="Arial"/>
                <w:sz w:val="18"/>
                <w:szCs w:val="18"/>
              </w:rPr>
              <w:t>Erk</w:t>
            </w:r>
            <w:r w:rsidR="00DB4036" w:rsidRPr="008E7B6D">
              <w:rPr>
                <w:rFonts w:ascii="Arial" w:hAnsi="Arial"/>
                <w:sz w:val="18"/>
                <w:szCs w:val="18"/>
              </w:rPr>
              <w:t xml:space="preserve">lären Sie allgemeingültig, was </w:t>
            </w:r>
            <w:r w:rsidRPr="008E7B6D">
              <w:rPr>
                <w:rFonts w:ascii="Arial" w:hAnsi="Arial"/>
                <w:sz w:val="18"/>
                <w:szCs w:val="18"/>
              </w:rPr>
              <w:t>stille Reserve</w:t>
            </w:r>
            <w:r w:rsidR="00DB4036" w:rsidRPr="008E7B6D">
              <w:rPr>
                <w:rFonts w:ascii="Arial" w:hAnsi="Arial"/>
                <w:sz w:val="18"/>
                <w:szCs w:val="18"/>
              </w:rPr>
              <w:t>n</w:t>
            </w:r>
            <w:r w:rsidR="00AD2F6E" w:rsidRPr="008E7B6D">
              <w:rPr>
                <w:rFonts w:ascii="Arial" w:hAnsi="Arial"/>
                <w:sz w:val="18"/>
                <w:szCs w:val="18"/>
              </w:rPr>
              <w:t xml:space="preserve"> sind.</w:t>
            </w:r>
          </w:p>
          <w:p w:rsidR="00AD2F6E" w:rsidRPr="008E7B6D" w:rsidRDefault="00AD2F6E" w:rsidP="00AD2F6E">
            <w:pPr>
              <w:pStyle w:val="Listenabsatz"/>
              <w:ind w:left="426"/>
              <w:rPr>
                <w:rFonts w:ascii="Arial" w:hAnsi="Arial"/>
                <w:sz w:val="18"/>
                <w:szCs w:val="18"/>
              </w:rPr>
            </w:pPr>
          </w:p>
          <w:p w:rsidR="00AD2F6E" w:rsidRPr="008E7B6D" w:rsidRDefault="00AD2F6E" w:rsidP="00AD2F6E">
            <w:pPr>
              <w:pStyle w:val="Kopfzeile"/>
              <w:tabs>
                <w:tab w:val="clear" w:pos="4536"/>
                <w:tab w:val="clear" w:pos="9072"/>
              </w:tabs>
              <w:ind w:left="426"/>
              <w:rPr>
                <w:rFonts w:ascii="Arial" w:hAnsi="Arial"/>
                <w:b/>
                <w:sz w:val="18"/>
                <w:szCs w:val="18"/>
              </w:rPr>
            </w:pPr>
            <w:r w:rsidRPr="008E7B6D">
              <w:rPr>
                <w:rFonts w:ascii="Arial" w:hAnsi="Arial"/>
                <w:b/>
                <w:sz w:val="18"/>
                <w:szCs w:val="18"/>
              </w:rPr>
              <w:t>Es sind Vermögenswerte einer Unternehmung, die im publizierten Jahresabschluss (Bilanz) nicht in vollem Umfang ersichtlich sind. Sie entstehen durch einen Bewertungsunterschied: Der publizierte Wert einer Bilanzposition ist tiefer als der tatsächliche Wert. Nebst dieser Unterbewertung von Verm</w:t>
            </w:r>
            <w:r w:rsidRPr="008E7B6D">
              <w:rPr>
                <w:rFonts w:ascii="Arial" w:hAnsi="Arial"/>
                <w:b/>
                <w:sz w:val="18"/>
                <w:szCs w:val="18"/>
              </w:rPr>
              <w:t>ö</w:t>
            </w:r>
            <w:r w:rsidRPr="008E7B6D">
              <w:rPr>
                <w:rFonts w:ascii="Arial" w:hAnsi="Arial"/>
                <w:b/>
                <w:sz w:val="18"/>
                <w:szCs w:val="18"/>
              </w:rPr>
              <w:t>gen können stille Reserven auch durch eine Überbewertung von Schulden entstehen.</w:t>
            </w:r>
          </w:p>
        </w:tc>
      </w:tr>
      <w:tr w:rsidR="00A2710C" w:rsidTr="00D46367">
        <w:tc>
          <w:tcPr>
            <w:tcW w:w="9356" w:type="dxa"/>
          </w:tcPr>
          <w:p w:rsidR="00A2710C" w:rsidRPr="008E7B6D" w:rsidRDefault="00A2710C" w:rsidP="009C63F8">
            <w:pPr>
              <w:ind w:left="426" w:hanging="426"/>
              <w:rPr>
                <w:rFonts w:ascii="Arial" w:hAnsi="Arial"/>
                <w:sz w:val="18"/>
                <w:szCs w:val="18"/>
              </w:rPr>
            </w:pPr>
          </w:p>
        </w:tc>
      </w:tr>
      <w:tr w:rsidR="009576AC" w:rsidTr="00D46367">
        <w:tc>
          <w:tcPr>
            <w:tcW w:w="9356" w:type="dxa"/>
          </w:tcPr>
          <w:p w:rsidR="009576AC" w:rsidRPr="008E7B6D" w:rsidRDefault="009576AC" w:rsidP="009576AC">
            <w:pPr>
              <w:pStyle w:val="Listenabsatz"/>
              <w:numPr>
                <w:ilvl w:val="0"/>
                <w:numId w:val="22"/>
              </w:numPr>
              <w:ind w:left="426" w:hanging="426"/>
              <w:rPr>
                <w:rFonts w:ascii="Arial" w:hAnsi="Arial"/>
                <w:sz w:val="18"/>
                <w:szCs w:val="18"/>
              </w:rPr>
            </w:pPr>
            <w:r w:rsidRPr="008E7B6D">
              <w:rPr>
                <w:rFonts w:ascii="Arial" w:hAnsi="Arial"/>
                <w:sz w:val="18"/>
                <w:szCs w:val="18"/>
              </w:rPr>
              <w:t>Studieren Sie den Auszug aus dem Obligationenrecht auf der nächsten Seite. Aus welchen Gesetzespass</w:t>
            </w:r>
            <w:r w:rsidRPr="008E7B6D">
              <w:rPr>
                <w:rFonts w:ascii="Arial" w:hAnsi="Arial"/>
                <w:sz w:val="18"/>
                <w:szCs w:val="18"/>
              </w:rPr>
              <w:t>a</w:t>
            </w:r>
            <w:r w:rsidRPr="008E7B6D">
              <w:rPr>
                <w:rFonts w:ascii="Arial" w:hAnsi="Arial"/>
                <w:sz w:val="18"/>
                <w:szCs w:val="18"/>
              </w:rPr>
              <w:t>gen geht hervor, dass stille Reserven in der Schweiz zulässig sind.</w:t>
            </w:r>
          </w:p>
          <w:p w:rsidR="008E7B6D" w:rsidRPr="008E7B6D" w:rsidRDefault="008E7B6D" w:rsidP="008E7B6D">
            <w:pPr>
              <w:pStyle w:val="Listenabsatz"/>
              <w:ind w:left="426"/>
              <w:rPr>
                <w:rFonts w:ascii="Arial" w:hAnsi="Arial"/>
                <w:sz w:val="18"/>
                <w:szCs w:val="18"/>
              </w:rPr>
            </w:pPr>
          </w:p>
          <w:p w:rsidR="008E7B6D" w:rsidRPr="008E7B6D" w:rsidRDefault="008E7B6D" w:rsidP="008E7B6D">
            <w:pPr>
              <w:pStyle w:val="Listenabsatz"/>
              <w:ind w:left="426"/>
              <w:rPr>
                <w:rFonts w:ascii="Arial" w:hAnsi="Arial"/>
                <w:b/>
                <w:sz w:val="18"/>
                <w:szCs w:val="18"/>
              </w:rPr>
            </w:pPr>
            <w:r w:rsidRPr="008E7B6D">
              <w:rPr>
                <w:rFonts w:ascii="Arial" w:hAnsi="Arial"/>
                <w:b/>
                <w:sz w:val="18"/>
                <w:szCs w:val="18"/>
              </w:rPr>
              <w:t xml:space="preserve">Artikel 960, Absatz 2 der allgemeinen Bewertungsvorschriften </w:t>
            </w:r>
            <w:r w:rsidRPr="008E7B6D">
              <w:rPr>
                <w:rFonts w:ascii="Arial" w:hAnsi="Arial"/>
                <w:b/>
                <w:sz w:val="18"/>
                <w:szCs w:val="18"/>
              </w:rPr>
              <w:br/>
            </w:r>
            <w:r w:rsidRPr="008E7B6D">
              <w:rPr>
                <w:rFonts w:ascii="Arial" w:hAnsi="Arial"/>
                <w:sz w:val="18"/>
                <w:szCs w:val="18"/>
              </w:rPr>
              <w:t>(gilt nur für Einzelunternehmen und Personengesellschaften)</w:t>
            </w:r>
          </w:p>
          <w:p w:rsidR="008E7B6D" w:rsidRPr="008E7B6D" w:rsidRDefault="008E7B6D" w:rsidP="008E7B6D">
            <w:pPr>
              <w:pStyle w:val="Listenabsatz"/>
              <w:ind w:left="426"/>
              <w:rPr>
                <w:rFonts w:ascii="Arial" w:hAnsi="Arial"/>
                <w:sz w:val="18"/>
                <w:szCs w:val="18"/>
              </w:rPr>
            </w:pPr>
            <w:r w:rsidRPr="008E7B6D">
              <w:rPr>
                <w:rFonts w:ascii="Arial" w:hAnsi="Arial"/>
                <w:i/>
                <w:sz w:val="18"/>
                <w:szCs w:val="18"/>
                <w:lang w:eastAsia="de-CH"/>
              </w:rPr>
              <w:t xml:space="preserve">«Bei ihrer Errichtung sind alle Aktiven </w:t>
            </w:r>
            <w:r w:rsidRPr="008E7B6D">
              <w:rPr>
                <w:rFonts w:ascii="Arial" w:hAnsi="Arial"/>
                <w:i/>
                <w:sz w:val="18"/>
                <w:szCs w:val="18"/>
                <w:u w:val="single"/>
                <w:lang w:eastAsia="de-CH"/>
              </w:rPr>
              <w:t>höchstens</w:t>
            </w:r>
            <w:r w:rsidRPr="008E7B6D">
              <w:rPr>
                <w:rFonts w:ascii="Arial" w:hAnsi="Arial"/>
                <w:i/>
                <w:sz w:val="18"/>
                <w:szCs w:val="18"/>
                <w:lang w:eastAsia="de-CH"/>
              </w:rPr>
              <w:t xml:space="preserve"> nach dem Werte anzusetzen, der ihnen im Zeitpunkt, auf welchen die Bilanz errichtet wird, für das Geschäft zukommt.» </w:t>
            </w:r>
          </w:p>
          <w:p w:rsidR="008E7B6D" w:rsidRPr="008E7B6D" w:rsidRDefault="008E7B6D" w:rsidP="008E7B6D">
            <w:pPr>
              <w:pStyle w:val="Listenabsatz"/>
              <w:ind w:left="426"/>
              <w:rPr>
                <w:rFonts w:ascii="Arial" w:hAnsi="Arial"/>
                <w:sz w:val="18"/>
                <w:szCs w:val="18"/>
              </w:rPr>
            </w:pPr>
          </w:p>
          <w:p w:rsidR="008E7B6D" w:rsidRPr="008E7B6D" w:rsidRDefault="008E7B6D" w:rsidP="008E7B6D">
            <w:pPr>
              <w:pStyle w:val="Listenabsatz"/>
              <w:ind w:left="426"/>
              <w:rPr>
                <w:rFonts w:ascii="Arial" w:hAnsi="Arial"/>
                <w:b/>
                <w:sz w:val="18"/>
                <w:szCs w:val="18"/>
              </w:rPr>
            </w:pPr>
            <w:r w:rsidRPr="008E7B6D">
              <w:rPr>
                <w:rFonts w:ascii="Arial" w:hAnsi="Arial"/>
                <w:b/>
                <w:sz w:val="18"/>
                <w:szCs w:val="18"/>
              </w:rPr>
              <w:t>Artikel 665 der aktienrechtlichen Bewertungsvorschriften</w:t>
            </w:r>
            <w:r w:rsidRPr="008E7B6D">
              <w:rPr>
                <w:rFonts w:ascii="Arial" w:hAnsi="Arial"/>
                <w:b/>
                <w:sz w:val="18"/>
                <w:szCs w:val="18"/>
              </w:rPr>
              <w:br/>
            </w:r>
            <w:r w:rsidRPr="008E7B6D">
              <w:rPr>
                <w:rFonts w:ascii="Arial" w:hAnsi="Arial"/>
                <w:sz w:val="18"/>
                <w:szCs w:val="18"/>
              </w:rPr>
              <w:t xml:space="preserve">(gelten für Kapitalgesellschaften) </w:t>
            </w:r>
          </w:p>
          <w:p w:rsidR="008E7B6D" w:rsidRPr="008E7B6D" w:rsidRDefault="008E7B6D" w:rsidP="008E7B6D">
            <w:pPr>
              <w:pStyle w:val="Listenabsatz"/>
              <w:ind w:left="426"/>
              <w:rPr>
                <w:rFonts w:ascii="Arial" w:hAnsi="Arial"/>
                <w:sz w:val="18"/>
                <w:szCs w:val="18"/>
              </w:rPr>
            </w:pPr>
            <w:r w:rsidRPr="008E7B6D">
              <w:rPr>
                <w:rFonts w:ascii="Arial" w:hAnsi="Arial"/>
                <w:i/>
                <w:sz w:val="18"/>
                <w:szCs w:val="18"/>
              </w:rPr>
              <w:br/>
              <w:t xml:space="preserve">«Das Anlagevermögen darf </w:t>
            </w:r>
            <w:r w:rsidRPr="008E7B6D">
              <w:rPr>
                <w:rFonts w:ascii="Arial" w:hAnsi="Arial"/>
                <w:i/>
                <w:sz w:val="18"/>
                <w:szCs w:val="18"/>
                <w:u w:val="single"/>
              </w:rPr>
              <w:t>höchstens</w:t>
            </w:r>
            <w:r w:rsidRPr="008E7B6D">
              <w:rPr>
                <w:rFonts w:ascii="Arial" w:hAnsi="Arial"/>
                <w:i/>
                <w:sz w:val="18"/>
                <w:szCs w:val="18"/>
              </w:rPr>
              <w:t xml:space="preserve"> zu den Anschaffungs- oder den Herstellungskosten bewertet werden, unter Abzug der notwendigen Abschreibungen.»</w:t>
            </w:r>
          </w:p>
          <w:p w:rsidR="008E7B6D" w:rsidRPr="008E7B6D" w:rsidRDefault="008E7B6D" w:rsidP="008E7B6D">
            <w:pPr>
              <w:pStyle w:val="Listenabsatz"/>
              <w:ind w:left="426"/>
              <w:rPr>
                <w:rFonts w:ascii="Arial" w:hAnsi="Arial"/>
                <w:sz w:val="18"/>
                <w:szCs w:val="18"/>
              </w:rPr>
            </w:pPr>
          </w:p>
          <w:p w:rsidR="009576AC" w:rsidRPr="008E7B6D" w:rsidRDefault="008E7B6D" w:rsidP="008E7B6D">
            <w:pPr>
              <w:pStyle w:val="Listenabsatz"/>
              <w:ind w:left="426"/>
              <w:rPr>
                <w:rFonts w:ascii="Arial" w:hAnsi="Arial"/>
                <w:b/>
                <w:sz w:val="18"/>
                <w:szCs w:val="18"/>
              </w:rPr>
            </w:pPr>
            <w:r w:rsidRPr="008E7B6D">
              <w:rPr>
                <w:rFonts w:ascii="Arial" w:hAnsi="Arial"/>
                <w:b/>
                <w:sz w:val="18"/>
                <w:szCs w:val="18"/>
              </w:rPr>
              <w:t xml:space="preserve">Kommentar: </w:t>
            </w:r>
            <w:r w:rsidRPr="008E7B6D">
              <w:rPr>
                <w:rFonts w:ascii="Arial" w:hAnsi="Arial"/>
                <w:b/>
                <w:sz w:val="18"/>
                <w:szCs w:val="18"/>
              </w:rPr>
              <w:br/>
              <w:t>Eine tiefere Bewertung der Aktiven ist also zulässig. Die Unternehmung darf ihre Vermögenssituation nach aussen hin schlechter aber nicht besser darstellen.</w:t>
            </w:r>
          </w:p>
        </w:tc>
      </w:tr>
      <w:tr w:rsidR="001A64AE" w:rsidTr="00D46367">
        <w:tc>
          <w:tcPr>
            <w:tcW w:w="9356" w:type="dxa"/>
          </w:tcPr>
          <w:p w:rsidR="001A64AE" w:rsidRPr="001A64AE" w:rsidRDefault="001A64AE" w:rsidP="001A64AE">
            <w:pPr>
              <w:rPr>
                <w:rFonts w:ascii="Arial" w:hAnsi="Arial"/>
                <w:sz w:val="20"/>
              </w:rPr>
            </w:pPr>
          </w:p>
        </w:tc>
      </w:tr>
      <w:tr w:rsidR="001A64AE" w:rsidTr="00D46367">
        <w:tc>
          <w:tcPr>
            <w:tcW w:w="9356" w:type="dxa"/>
          </w:tcPr>
          <w:p w:rsidR="001A64AE" w:rsidRDefault="001A64AE" w:rsidP="001A64AE">
            <w:pPr>
              <w:rPr>
                <w:rFonts w:ascii="Arial" w:hAnsi="Arial"/>
                <w:sz w:val="20"/>
              </w:rPr>
            </w:pPr>
          </w:p>
          <w:p w:rsidR="001A64AE" w:rsidRDefault="001A64AE" w:rsidP="001A64AE">
            <w:pPr>
              <w:rPr>
                <w:rFonts w:ascii="Arial" w:hAnsi="Arial"/>
                <w:sz w:val="20"/>
              </w:rPr>
            </w:pPr>
          </w:p>
          <w:p w:rsidR="001A64AE" w:rsidRDefault="001A64AE" w:rsidP="001A64AE">
            <w:pPr>
              <w:rPr>
                <w:rFonts w:ascii="Arial" w:hAnsi="Arial"/>
                <w:sz w:val="20"/>
              </w:rPr>
            </w:pPr>
          </w:p>
          <w:p w:rsidR="001A64AE" w:rsidRDefault="001A64AE" w:rsidP="001A64AE">
            <w:pPr>
              <w:rPr>
                <w:rFonts w:ascii="Arial" w:hAnsi="Arial"/>
                <w:sz w:val="20"/>
              </w:rPr>
            </w:pPr>
          </w:p>
          <w:p w:rsidR="001A64AE" w:rsidRPr="001A64AE" w:rsidRDefault="001A64AE" w:rsidP="001A64AE">
            <w:pPr>
              <w:rPr>
                <w:rFonts w:ascii="Arial" w:hAnsi="Arial"/>
                <w:b/>
                <w:sz w:val="18"/>
                <w:szCs w:val="18"/>
              </w:rPr>
            </w:pPr>
            <w:r w:rsidRPr="001A64AE">
              <w:rPr>
                <w:rFonts w:ascii="Arial" w:hAnsi="Arial"/>
                <w:b/>
                <w:sz w:val="18"/>
                <w:szCs w:val="18"/>
              </w:rPr>
              <w:lastRenderedPageBreak/>
              <w:t>Auszug aus dem Schweizerischen Zivilgesetzbuch, 5. Teil - Obligationenrecht</w:t>
            </w:r>
          </w:p>
          <w:p w:rsidR="001A64AE" w:rsidRPr="004556B3" w:rsidRDefault="001A64AE" w:rsidP="001A64AE">
            <w:pPr>
              <w:rPr>
                <w:rFonts w:ascii="Arial" w:hAnsi="Arial"/>
                <w:sz w:val="16"/>
                <w:szCs w:val="16"/>
              </w:rPr>
            </w:pPr>
          </w:p>
          <w:p w:rsidR="001A64AE" w:rsidRPr="00F50A3E" w:rsidRDefault="001A64AE" w:rsidP="001A64AE">
            <w:pPr>
              <w:rPr>
                <w:rFonts w:ascii="Arial" w:hAnsi="Arial"/>
                <w:b/>
                <w:sz w:val="16"/>
                <w:szCs w:val="16"/>
              </w:rPr>
            </w:pPr>
            <w:r w:rsidRPr="00F50A3E">
              <w:rPr>
                <w:rFonts w:ascii="Arial" w:hAnsi="Arial"/>
                <w:b/>
                <w:sz w:val="16"/>
                <w:szCs w:val="16"/>
              </w:rPr>
              <w:t>a)</w:t>
            </w:r>
            <w:r w:rsidRPr="00F50A3E">
              <w:rPr>
                <w:rFonts w:ascii="Arial" w:hAnsi="Arial"/>
                <w:b/>
                <w:sz w:val="16"/>
                <w:szCs w:val="16"/>
              </w:rPr>
              <w:tab/>
              <w:t>Allgemeine Bewertungsvorschriften</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958</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B. Bilanzvorschriften</w:t>
            </w:r>
          </w:p>
          <w:p w:rsidR="001A64AE" w:rsidRPr="00E14CCC" w:rsidRDefault="001A64AE" w:rsidP="001A64AE">
            <w:pPr>
              <w:rPr>
                <w:rFonts w:ascii="Arial" w:hAnsi="Arial"/>
                <w:b/>
                <w:sz w:val="16"/>
                <w:szCs w:val="16"/>
              </w:rPr>
            </w:pPr>
            <w:r w:rsidRPr="00E14CCC">
              <w:rPr>
                <w:rFonts w:ascii="Arial" w:hAnsi="Arial"/>
                <w:b/>
                <w:sz w:val="16"/>
                <w:szCs w:val="16"/>
              </w:rPr>
              <w:tab/>
              <w:t>I. Bilanzpflicht</w:t>
            </w:r>
          </w:p>
          <w:p w:rsidR="00E03E97" w:rsidRPr="0097080D" w:rsidRDefault="004556B3" w:rsidP="001A64AE">
            <w:pPr>
              <w:rPr>
                <w:rFonts w:ascii="Arial" w:hAnsi="Arial"/>
                <w:sz w:val="16"/>
                <w:szCs w:val="16"/>
              </w:rPr>
            </w:pPr>
            <w:r w:rsidRPr="0097080D">
              <w:rPr>
                <w:rFonts w:ascii="Arial" w:hAnsi="Arial"/>
                <w:sz w:val="16"/>
                <w:szCs w:val="16"/>
              </w:rPr>
              <w:t>1</w:t>
            </w:r>
            <w:r w:rsidR="001A64AE" w:rsidRPr="0097080D">
              <w:rPr>
                <w:rFonts w:ascii="Arial" w:hAnsi="Arial"/>
                <w:sz w:val="16"/>
                <w:szCs w:val="16"/>
              </w:rPr>
              <w:tab/>
              <w:t>Wer zur Führung von Geschäftsbüchern verpflichtet ist, hat bei Eröffnung des Geschäftsbetrie</w:t>
            </w:r>
            <w:r w:rsidR="00E03E97" w:rsidRPr="0097080D">
              <w:rPr>
                <w:rFonts w:ascii="Arial" w:hAnsi="Arial"/>
                <w:sz w:val="16"/>
                <w:szCs w:val="16"/>
              </w:rPr>
              <w:t xml:space="preserve">bes ein Inventar und eine </w:t>
            </w:r>
            <w:r w:rsidR="00E03E97" w:rsidRPr="0097080D">
              <w:rPr>
                <w:rFonts w:ascii="Arial" w:hAnsi="Arial"/>
                <w:sz w:val="16"/>
                <w:szCs w:val="16"/>
              </w:rPr>
              <w:tab/>
            </w:r>
            <w:r w:rsidR="001A64AE" w:rsidRPr="0097080D">
              <w:rPr>
                <w:rFonts w:ascii="Arial" w:hAnsi="Arial"/>
                <w:sz w:val="16"/>
                <w:szCs w:val="16"/>
              </w:rPr>
              <w:t>Bilanz und auf Schluss eines jeden Geschäftsjahres ein Inventar, eine Betriebsrechnung und eine Bilanz aufzustellen.</w:t>
            </w:r>
          </w:p>
          <w:p w:rsidR="001A64AE" w:rsidRPr="0097080D" w:rsidRDefault="001A64AE" w:rsidP="001A64AE">
            <w:pPr>
              <w:rPr>
                <w:rFonts w:ascii="Arial" w:hAnsi="Arial"/>
                <w:sz w:val="16"/>
                <w:szCs w:val="16"/>
              </w:rPr>
            </w:pPr>
            <w:r w:rsidRPr="0097080D">
              <w:rPr>
                <w:rFonts w:ascii="Arial" w:hAnsi="Arial"/>
                <w:sz w:val="16"/>
                <w:szCs w:val="16"/>
              </w:rPr>
              <w:t>2</w:t>
            </w:r>
            <w:r w:rsidRPr="0097080D">
              <w:rPr>
                <w:rFonts w:ascii="Arial" w:hAnsi="Arial"/>
                <w:sz w:val="16"/>
                <w:szCs w:val="16"/>
              </w:rPr>
              <w:tab/>
              <w:t xml:space="preserve">Inventar, Betriebsrechnung und Bilanz sind innerhalb einer dem ordnungsmässigen Geschäftsgang entsprechenden </w:t>
            </w:r>
            <w:r w:rsidR="004E22B1" w:rsidRPr="0097080D">
              <w:rPr>
                <w:rFonts w:ascii="Arial" w:hAnsi="Arial"/>
                <w:sz w:val="16"/>
                <w:szCs w:val="16"/>
              </w:rPr>
              <w:tab/>
            </w:r>
            <w:r w:rsidRPr="0097080D">
              <w:rPr>
                <w:rFonts w:ascii="Arial" w:hAnsi="Arial"/>
                <w:sz w:val="16"/>
                <w:szCs w:val="16"/>
              </w:rPr>
              <w:t>Frist abzuschliessen.</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959</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II. Bilanzgrundsätze</w:t>
            </w:r>
          </w:p>
          <w:p w:rsidR="001A64AE" w:rsidRPr="00E14CCC" w:rsidRDefault="001A64AE" w:rsidP="001A64AE">
            <w:pPr>
              <w:rPr>
                <w:rFonts w:ascii="Arial" w:hAnsi="Arial"/>
                <w:b/>
                <w:sz w:val="16"/>
                <w:szCs w:val="16"/>
              </w:rPr>
            </w:pPr>
            <w:r w:rsidRPr="00E14CCC">
              <w:rPr>
                <w:rFonts w:ascii="Arial" w:hAnsi="Arial"/>
                <w:b/>
                <w:sz w:val="16"/>
                <w:szCs w:val="16"/>
              </w:rPr>
              <w:tab/>
              <w:t>1. Bilanzwahrheit und -klarheit</w:t>
            </w:r>
          </w:p>
          <w:p w:rsidR="001A64AE" w:rsidRPr="0097080D" w:rsidRDefault="001A64AE" w:rsidP="001A64AE">
            <w:pPr>
              <w:rPr>
                <w:rFonts w:ascii="Arial" w:hAnsi="Arial"/>
                <w:sz w:val="16"/>
                <w:szCs w:val="16"/>
              </w:rPr>
            </w:pPr>
            <w:r w:rsidRPr="0097080D">
              <w:rPr>
                <w:rFonts w:ascii="Arial" w:hAnsi="Arial"/>
                <w:sz w:val="16"/>
                <w:szCs w:val="16"/>
              </w:rPr>
              <w:tab/>
              <w:t xml:space="preserve">Betriebsrechnung und Jahresbilanz sind nach allgemein anerkannten kaufmännischen Grundsätzen vollständig, klar </w:t>
            </w:r>
            <w:r w:rsidR="004E22B1" w:rsidRPr="0097080D">
              <w:rPr>
                <w:rFonts w:ascii="Arial" w:hAnsi="Arial"/>
                <w:sz w:val="16"/>
                <w:szCs w:val="16"/>
              </w:rPr>
              <w:tab/>
            </w:r>
            <w:r w:rsidRPr="0097080D">
              <w:rPr>
                <w:rFonts w:ascii="Arial" w:hAnsi="Arial"/>
                <w:sz w:val="16"/>
                <w:szCs w:val="16"/>
              </w:rPr>
              <w:t xml:space="preserve">und übersichtlich aufzustellen, damit die Beteiligten einen möglichst sicheren Einblick in die wirtschaftliche Lage des </w:t>
            </w:r>
            <w:r w:rsidR="004E22B1" w:rsidRPr="0097080D">
              <w:rPr>
                <w:rFonts w:ascii="Arial" w:hAnsi="Arial"/>
                <w:sz w:val="16"/>
                <w:szCs w:val="16"/>
              </w:rPr>
              <w:tab/>
            </w:r>
            <w:r w:rsidRPr="0097080D">
              <w:rPr>
                <w:rFonts w:ascii="Arial" w:hAnsi="Arial"/>
                <w:sz w:val="16"/>
                <w:szCs w:val="16"/>
              </w:rPr>
              <w:t>Geschäftes erhalten.</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960</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2. Wertansätze</w:t>
            </w:r>
          </w:p>
          <w:p w:rsidR="00E03E97" w:rsidRPr="0097080D" w:rsidRDefault="001A64AE" w:rsidP="001A64AE">
            <w:pPr>
              <w:rPr>
                <w:rFonts w:ascii="Arial" w:hAnsi="Arial"/>
                <w:sz w:val="16"/>
                <w:szCs w:val="16"/>
              </w:rPr>
            </w:pPr>
            <w:r w:rsidRPr="0097080D">
              <w:rPr>
                <w:rFonts w:ascii="Arial" w:hAnsi="Arial"/>
                <w:sz w:val="16"/>
                <w:szCs w:val="16"/>
              </w:rPr>
              <w:t>1</w:t>
            </w:r>
            <w:r w:rsidRPr="0097080D">
              <w:rPr>
                <w:rFonts w:ascii="Arial" w:hAnsi="Arial"/>
                <w:sz w:val="16"/>
                <w:szCs w:val="16"/>
              </w:rPr>
              <w:tab/>
              <w:t>Inventar, Betriebsrechnung und Bilanz sind in Landeswährung aufzustellen.</w:t>
            </w:r>
          </w:p>
          <w:p w:rsidR="00E03E97" w:rsidRPr="0097080D" w:rsidRDefault="001A64AE" w:rsidP="001A64AE">
            <w:pPr>
              <w:rPr>
                <w:rFonts w:ascii="Arial" w:hAnsi="Arial"/>
                <w:sz w:val="16"/>
                <w:szCs w:val="16"/>
              </w:rPr>
            </w:pPr>
            <w:r w:rsidRPr="0097080D">
              <w:rPr>
                <w:rFonts w:ascii="Arial" w:hAnsi="Arial"/>
                <w:sz w:val="16"/>
                <w:szCs w:val="16"/>
              </w:rPr>
              <w:t>2</w:t>
            </w:r>
            <w:r w:rsidRPr="0097080D">
              <w:rPr>
                <w:rFonts w:ascii="Arial" w:hAnsi="Arial"/>
                <w:sz w:val="16"/>
                <w:szCs w:val="16"/>
              </w:rPr>
              <w:tab/>
              <w:t xml:space="preserve">Bei ihrer Errichtung sind alle Aktiven höchstens nach dem Werte anzusetzen, der ihnen im Zeitpunkt, auf welchen die </w:t>
            </w:r>
            <w:r w:rsidR="004E22B1" w:rsidRPr="0097080D">
              <w:rPr>
                <w:rFonts w:ascii="Arial" w:hAnsi="Arial"/>
                <w:sz w:val="16"/>
                <w:szCs w:val="16"/>
              </w:rPr>
              <w:tab/>
            </w:r>
            <w:r w:rsidRPr="0097080D">
              <w:rPr>
                <w:rFonts w:ascii="Arial" w:hAnsi="Arial"/>
                <w:sz w:val="16"/>
                <w:szCs w:val="16"/>
              </w:rPr>
              <w:t>Bilanz errichtet wird, für das Geschäft zukommt.</w:t>
            </w:r>
          </w:p>
          <w:p w:rsidR="004556B3" w:rsidRPr="0097080D" w:rsidRDefault="001A64AE" w:rsidP="001A64AE">
            <w:pPr>
              <w:rPr>
                <w:rFonts w:ascii="Arial" w:hAnsi="Arial"/>
                <w:sz w:val="16"/>
                <w:szCs w:val="16"/>
              </w:rPr>
            </w:pPr>
            <w:r w:rsidRPr="0097080D">
              <w:rPr>
                <w:rFonts w:ascii="Arial" w:hAnsi="Arial"/>
                <w:sz w:val="16"/>
                <w:szCs w:val="16"/>
              </w:rPr>
              <w:t>3</w:t>
            </w:r>
            <w:r w:rsidRPr="0097080D">
              <w:rPr>
                <w:rFonts w:ascii="Arial" w:hAnsi="Arial"/>
                <w:sz w:val="16"/>
                <w:szCs w:val="16"/>
              </w:rPr>
              <w:tab/>
              <w:t>Vorbehalten bleiben die abweichenden Bilanzvorschriften, die für Aktiengesellschaften, Kommanditaktienge</w:t>
            </w:r>
            <w:r w:rsidR="004556B3" w:rsidRPr="0097080D">
              <w:rPr>
                <w:rFonts w:ascii="Arial" w:hAnsi="Arial"/>
                <w:sz w:val="16"/>
                <w:szCs w:val="16"/>
              </w:rPr>
              <w:t>sellschaften,</w:t>
            </w:r>
          </w:p>
          <w:p w:rsidR="001A64AE" w:rsidRPr="0097080D" w:rsidRDefault="004E22B1" w:rsidP="001A64AE">
            <w:pPr>
              <w:rPr>
                <w:rFonts w:ascii="Arial" w:hAnsi="Arial"/>
                <w:sz w:val="16"/>
                <w:szCs w:val="16"/>
              </w:rPr>
            </w:pPr>
            <w:r w:rsidRPr="0097080D">
              <w:rPr>
                <w:rFonts w:ascii="Arial" w:hAnsi="Arial"/>
                <w:sz w:val="16"/>
                <w:szCs w:val="16"/>
              </w:rPr>
              <w:tab/>
            </w:r>
            <w:r w:rsidR="001A64AE" w:rsidRPr="0097080D">
              <w:rPr>
                <w:rFonts w:ascii="Arial" w:hAnsi="Arial"/>
                <w:sz w:val="16"/>
                <w:szCs w:val="16"/>
              </w:rPr>
              <w:t>Gesellschaften mit beschränkter Haftung sowie Versicherungs- und Kreditgenossenschaften aufgestellt sind.</w:t>
            </w:r>
          </w:p>
          <w:p w:rsidR="001A64AE" w:rsidRPr="0097080D" w:rsidRDefault="001A64AE" w:rsidP="001A64AE">
            <w:pPr>
              <w:rPr>
                <w:rFonts w:ascii="Arial" w:hAnsi="Arial"/>
                <w:sz w:val="16"/>
                <w:szCs w:val="16"/>
              </w:rPr>
            </w:pP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b)</w:t>
            </w:r>
            <w:r w:rsidR="00204A26" w:rsidRPr="00E14CCC">
              <w:rPr>
                <w:rFonts w:ascii="Arial" w:hAnsi="Arial"/>
                <w:b/>
                <w:sz w:val="16"/>
                <w:szCs w:val="16"/>
              </w:rPr>
              <w:tab/>
              <w:t xml:space="preserve">Bewertungsvorschriften in der </w:t>
            </w:r>
            <w:r w:rsidRPr="00E14CCC">
              <w:rPr>
                <w:rFonts w:ascii="Arial" w:hAnsi="Arial"/>
                <w:b/>
                <w:sz w:val="16"/>
                <w:szCs w:val="16"/>
              </w:rPr>
              <w:t>Aktiengesellschaft</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665</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2. Anlagevermögen</w:t>
            </w:r>
          </w:p>
          <w:p w:rsidR="001A64AE" w:rsidRPr="00E14CCC" w:rsidRDefault="001A64AE" w:rsidP="001A64AE">
            <w:pPr>
              <w:rPr>
                <w:rFonts w:ascii="Arial" w:hAnsi="Arial"/>
                <w:b/>
                <w:sz w:val="16"/>
                <w:szCs w:val="16"/>
              </w:rPr>
            </w:pPr>
            <w:r w:rsidRPr="00E14CCC">
              <w:rPr>
                <w:rFonts w:ascii="Arial" w:hAnsi="Arial"/>
                <w:b/>
                <w:sz w:val="16"/>
                <w:szCs w:val="16"/>
              </w:rPr>
              <w:tab/>
              <w:t>a. Im Allgemeinen</w:t>
            </w:r>
          </w:p>
          <w:p w:rsidR="001A64AE" w:rsidRPr="0097080D" w:rsidRDefault="001A64AE" w:rsidP="001A64AE">
            <w:pPr>
              <w:rPr>
                <w:rFonts w:ascii="Arial" w:hAnsi="Arial"/>
                <w:sz w:val="16"/>
                <w:szCs w:val="16"/>
              </w:rPr>
            </w:pPr>
            <w:r w:rsidRPr="0097080D">
              <w:rPr>
                <w:rFonts w:ascii="Arial" w:hAnsi="Arial"/>
                <w:sz w:val="16"/>
                <w:szCs w:val="16"/>
              </w:rPr>
              <w:tab/>
              <w:t xml:space="preserve">Das Anlagevermögen darf höchstens zu den Anschaffungs- oder den Herstellungskosten bewertet werden, unter Abzug </w:t>
            </w:r>
            <w:r w:rsidR="004E22B1" w:rsidRPr="0097080D">
              <w:rPr>
                <w:rFonts w:ascii="Arial" w:hAnsi="Arial"/>
                <w:sz w:val="16"/>
                <w:szCs w:val="16"/>
              </w:rPr>
              <w:tab/>
            </w:r>
            <w:r w:rsidRPr="0097080D">
              <w:rPr>
                <w:rFonts w:ascii="Arial" w:hAnsi="Arial"/>
                <w:sz w:val="16"/>
                <w:szCs w:val="16"/>
              </w:rPr>
              <w:t>der notwendigen Abschreibungen.</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665a</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b. Beteiligungen</w:t>
            </w:r>
          </w:p>
          <w:p w:rsidR="00E03E97" w:rsidRPr="0097080D" w:rsidRDefault="001A64AE" w:rsidP="001A64AE">
            <w:pPr>
              <w:rPr>
                <w:rFonts w:ascii="Arial" w:hAnsi="Arial"/>
                <w:sz w:val="16"/>
                <w:szCs w:val="16"/>
              </w:rPr>
            </w:pPr>
            <w:r w:rsidRPr="0097080D">
              <w:rPr>
                <w:rFonts w:ascii="Arial" w:hAnsi="Arial"/>
                <w:sz w:val="16"/>
                <w:szCs w:val="16"/>
              </w:rPr>
              <w:t>1</w:t>
            </w:r>
            <w:r w:rsidRPr="0097080D">
              <w:rPr>
                <w:rFonts w:ascii="Arial" w:hAnsi="Arial"/>
                <w:sz w:val="16"/>
                <w:szCs w:val="16"/>
              </w:rPr>
              <w:tab/>
              <w:t>Zum Anlagevermögen gehören auch Beteiligungen und andere Finanzanlagen.</w:t>
            </w:r>
          </w:p>
          <w:p w:rsidR="00E03E97" w:rsidRPr="0097080D" w:rsidRDefault="001A64AE" w:rsidP="001A64AE">
            <w:pPr>
              <w:rPr>
                <w:rFonts w:ascii="Arial" w:hAnsi="Arial"/>
                <w:sz w:val="16"/>
                <w:szCs w:val="16"/>
              </w:rPr>
            </w:pPr>
            <w:r w:rsidRPr="0097080D">
              <w:rPr>
                <w:rFonts w:ascii="Arial" w:hAnsi="Arial"/>
                <w:sz w:val="16"/>
                <w:szCs w:val="16"/>
              </w:rPr>
              <w:t>2</w:t>
            </w:r>
            <w:r w:rsidRPr="0097080D">
              <w:rPr>
                <w:rFonts w:ascii="Arial" w:hAnsi="Arial"/>
                <w:sz w:val="16"/>
                <w:szCs w:val="16"/>
              </w:rPr>
              <w:tab/>
              <w:t xml:space="preserve">Beteiligungen sind Anteile am Kapital anderer Unternehmen, die mit der Absicht dauernder Anlage gehalten werden </w:t>
            </w:r>
            <w:r w:rsidR="004E22B1" w:rsidRPr="0097080D">
              <w:rPr>
                <w:rFonts w:ascii="Arial" w:hAnsi="Arial"/>
                <w:sz w:val="16"/>
                <w:szCs w:val="16"/>
              </w:rPr>
              <w:tab/>
            </w:r>
            <w:r w:rsidRPr="0097080D">
              <w:rPr>
                <w:rFonts w:ascii="Arial" w:hAnsi="Arial"/>
                <w:sz w:val="16"/>
                <w:szCs w:val="16"/>
              </w:rPr>
              <w:t>und einen massgeblichen Einfluss vermitteln.</w:t>
            </w:r>
          </w:p>
          <w:p w:rsidR="001A64AE" w:rsidRPr="0097080D" w:rsidRDefault="001A64AE" w:rsidP="001A64AE">
            <w:pPr>
              <w:rPr>
                <w:rFonts w:ascii="Arial" w:hAnsi="Arial"/>
                <w:sz w:val="16"/>
                <w:szCs w:val="16"/>
              </w:rPr>
            </w:pPr>
            <w:r w:rsidRPr="0097080D">
              <w:rPr>
                <w:rFonts w:ascii="Arial" w:hAnsi="Arial"/>
                <w:sz w:val="16"/>
                <w:szCs w:val="16"/>
              </w:rPr>
              <w:t>3</w:t>
            </w:r>
            <w:r w:rsidRPr="0097080D">
              <w:rPr>
                <w:rFonts w:ascii="Arial" w:hAnsi="Arial"/>
                <w:sz w:val="16"/>
                <w:szCs w:val="16"/>
              </w:rPr>
              <w:tab/>
              <w:t>Stimmberechtigte Anteile von mindestens 20 Prozent gelten als Beteiligung.</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666</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3. Vorräte</w:t>
            </w:r>
          </w:p>
          <w:p w:rsidR="00E03E97" w:rsidRPr="0097080D" w:rsidRDefault="001A64AE" w:rsidP="001A64AE">
            <w:pPr>
              <w:rPr>
                <w:rFonts w:ascii="Arial" w:hAnsi="Arial"/>
                <w:sz w:val="16"/>
                <w:szCs w:val="16"/>
              </w:rPr>
            </w:pPr>
            <w:r w:rsidRPr="0097080D">
              <w:rPr>
                <w:rFonts w:ascii="Arial" w:hAnsi="Arial"/>
                <w:sz w:val="16"/>
                <w:szCs w:val="16"/>
              </w:rPr>
              <w:t>1</w:t>
            </w:r>
            <w:r w:rsidRPr="0097080D">
              <w:rPr>
                <w:rFonts w:ascii="Arial" w:hAnsi="Arial"/>
                <w:sz w:val="16"/>
                <w:szCs w:val="16"/>
              </w:rPr>
              <w:tab/>
              <w:t xml:space="preserve">Rohmaterialien, teilweise oder ganz fertig gestellte Erzeugnisse sowie Waren dürfen höchstens zu den Anschaffungs- </w:t>
            </w:r>
            <w:r w:rsidR="004E22B1" w:rsidRPr="0097080D">
              <w:rPr>
                <w:rFonts w:ascii="Arial" w:hAnsi="Arial"/>
                <w:sz w:val="16"/>
                <w:szCs w:val="16"/>
              </w:rPr>
              <w:tab/>
            </w:r>
            <w:r w:rsidRPr="0097080D">
              <w:rPr>
                <w:rFonts w:ascii="Arial" w:hAnsi="Arial"/>
                <w:sz w:val="16"/>
                <w:szCs w:val="16"/>
              </w:rPr>
              <w:t>oder den Herstellungskosten bewertet werden.</w:t>
            </w:r>
          </w:p>
          <w:p w:rsidR="001A64AE" w:rsidRPr="0097080D" w:rsidRDefault="001A64AE" w:rsidP="001A64AE">
            <w:pPr>
              <w:rPr>
                <w:rFonts w:ascii="Arial" w:hAnsi="Arial"/>
                <w:sz w:val="16"/>
                <w:szCs w:val="16"/>
              </w:rPr>
            </w:pPr>
            <w:r w:rsidRPr="0097080D">
              <w:rPr>
                <w:rFonts w:ascii="Arial" w:hAnsi="Arial"/>
                <w:sz w:val="16"/>
                <w:szCs w:val="16"/>
              </w:rPr>
              <w:t>2</w:t>
            </w:r>
            <w:r w:rsidRPr="0097080D">
              <w:rPr>
                <w:rFonts w:ascii="Arial" w:hAnsi="Arial"/>
                <w:sz w:val="16"/>
                <w:szCs w:val="16"/>
              </w:rPr>
              <w:tab/>
              <w:t>Sind die Kosten höher als der am Bilanzstichtag allgemein geltende Marktpreis, so ist dieser massgebend.</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667</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4. Wertschriften</w:t>
            </w:r>
          </w:p>
          <w:p w:rsidR="00E03E97" w:rsidRPr="0097080D" w:rsidRDefault="001A64AE" w:rsidP="001A64AE">
            <w:pPr>
              <w:rPr>
                <w:rFonts w:ascii="Arial" w:hAnsi="Arial"/>
                <w:sz w:val="16"/>
                <w:szCs w:val="16"/>
              </w:rPr>
            </w:pPr>
            <w:r w:rsidRPr="0097080D">
              <w:rPr>
                <w:rFonts w:ascii="Arial" w:hAnsi="Arial"/>
                <w:sz w:val="16"/>
                <w:szCs w:val="16"/>
              </w:rPr>
              <w:t>1</w:t>
            </w:r>
            <w:r w:rsidRPr="0097080D">
              <w:rPr>
                <w:rFonts w:ascii="Arial" w:hAnsi="Arial"/>
                <w:sz w:val="16"/>
                <w:szCs w:val="16"/>
              </w:rPr>
              <w:tab/>
              <w:t xml:space="preserve">Wertschriften mit Kurswert dürfen höchstens zum Durchschnittskurs des letzten Monats vor dem Bilanzstichtag bewertet </w:t>
            </w:r>
            <w:r w:rsidR="004E22B1" w:rsidRPr="0097080D">
              <w:rPr>
                <w:rFonts w:ascii="Arial" w:hAnsi="Arial"/>
                <w:sz w:val="16"/>
                <w:szCs w:val="16"/>
              </w:rPr>
              <w:tab/>
            </w:r>
            <w:r w:rsidRPr="0097080D">
              <w:rPr>
                <w:rFonts w:ascii="Arial" w:hAnsi="Arial"/>
                <w:sz w:val="16"/>
                <w:szCs w:val="16"/>
              </w:rPr>
              <w:t>werden.</w:t>
            </w:r>
          </w:p>
          <w:p w:rsidR="004E22B1" w:rsidRPr="0097080D" w:rsidRDefault="001A64AE" w:rsidP="001A64AE">
            <w:pPr>
              <w:rPr>
                <w:rFonts w:ascii="Arial" w:hAnsi="Arial"/>
                <w:sz w:val="16"/>
                <w:szCs w:val="16"/>
              </w:rPr>
            </w:pPr>
            <w:r w:rsidRPr="0097080D">
              <w:rPr>
                <w:rFonts w:ascii="Arial" w:hAnsi="Arial"/>
                <w:sz w:val="16"/>
                <w:szCs w:val="16"/>
              </w:rPr>
              <w:t>2</w:t>
            </w:r>
            <w:r w:rsidRPr="0097080D">
              <w:rPr>
                <w:rFonts w:ascii="Arial" w:hAnsi="Arial"/>
                <w:sz w:val="16"/>
                <w:szCs w:val="16"/>
              </w:rPr>
              <w:tab/>
              <w:t xml:space="preserve">Wertschriften ohne Kurswert dürfen höchstens zu den Anschaffungskosten bewertet werden, unter Abzug der </w:t>
            </w:r>
          </w:p>
          <w:p w:rsidR="001A64AE" w:rsidRPr="0097080D" w:rsidRDefault="004E22B1" w:rsidP="001A64AE">
            <w:pPr>
              <w:rPr>
                <w:rFonts w:ascii="Arial" w:hAnsi="Arial"/>
                <w:sz w:val="16"/>
                <w:szCs w:val="16"/>
              </w:rPr>
            </w:pPr>
            <w:r w:rsidRPr="0097080D">
              <w:rPr>
                <w:rFonts w:ascii="Arial" w:hAnsi="Arial"/>
                <w:sz w:val="16"/>
                <w:szCs w:val="16"/>
              </w:rPr>
              <w:tab/>
            </w:r>
            <w:r w:rsidR="001A64AE" w:rsidRPr="0097080D">
              <w:rPr>
                <w:rFonts w:ascii="Arial" w:hAnsi="Arial"/>
                <w:sz w:val="16"/>
                <w:szCs w:val="16"/>
              </w:rPr>
              <w:t>notwendigen Wertberichtigungen.</w:t>
            </w:r>
          </w:p>
          <w:p w:rsidR="001A64AE" w:rsidRPr="0097080D" w:rsidRDefault="001A64AE" w:rsidP="001A64AE">
            <w:pPr>
              <w:rPr>
                <w:rFonts w:ascii="Arial" w:hAnsi="Arial"/>
                <w:sz w:val="16"/>
                <w:szCs w:val="16"/>
              </w:rPr>
            </w:pPr>
          </w:p>
          <w:p w:rsidR="001A64AE" w:rsidRPr="00E14CCC" w:rsidRDefault="001A64AE" w:rsidP="001A64AE">
            <w:pPr>
              <w:rPr>
                <w:rFonts w:ascii="Arial" w:hAnsi="Arial"/>
                <w:b/>
                <w:sz w:val="16"/>
                <w:szCs w:val="16"/>
              </w:rPr>
            </w:pPr>
            <w:r w:rsidRPr="00E14CCC">
              <w:rPr>
                <w:rFonts w:ascii="Arial" w:hAnsi="Arial"/>
                <w:b/>
                <w:sz w:val="16"/>
                <w:szCs w:val="16"/>
              </w:rPr>
              <w:t>Art. 669</w:t>
            </w:r>
          </w:p>
          <w:p w:rsidR="001A64AE" w:rsidRPr="00E14CCC" w:rsidRDefault="001A64AE" w:rsidP="001A64AE">
            <w:pPr>
              <w:rPr>
                <w:rFonts w:ascii="Arial" w:hAnsi="Arial"/>
                <w:b/>
                <w:sz w:val="16"/>
                <w:szCs w:val="16"/>
              </w:rPr>
            </w:pPr>
            <w:r w:rsidRPr="0097080D">
              <w:rPr>
                <w:rFonts w:ascii="Arial" w:hAnsi="Arial"/>
                <w:sz w:val="16"/>
                <w:szCs w:val="16"/>
              </w:rPr>
              <w:tab/>
            </w:r>
            <w:r w:rsidRPr="00E14CCC">
              <w:rPr>
                <w:rFonts w:ascii="Arial" w:hAnsi="Arial"/>
                <w:b/>
                <w:sz w:val="16"/>
                <w:szCs w:val="16"/>
              </w:rPr>
              <w:t>5. Abschreibungen, Wertberichtigungen und Rückstellungen</w:t>
            </w:r>
          </w:p>
          <w:p w:rsidR="00E03E97" w:rsidRPr="0097080D" w:rsidRDefault="001A64AE" w:rsidP="001A64AE">
            <w:pPr>
              <w:rPr>
                <w:rFonts w:ascii="Arial" w:hAnsi="Arial"/>
                <w:sz w:val="16"/>
                <w:szCs w:val="16"/>
              </w:rPr>
            </w:pPr>
            <w:r w:rsidRPr="0097080D">
              <w:rPr>
                <w:rFonts w:ascii="Arial" w:hAnsi="Arial"/>
                <w:sz w:val="16"/>
                <w:szCs w:val="16"/>
              </w:rPr>
              <w:t>1</w:t>
            </w:r>
            <w:r w:rsidRPr="0097080D">
              <w:rPr>
                <w:rFonts w:ascii="Arial" w:hAnsi="Arial"/>
                <w:sz w:val="16"/>
                <w:szCs w:val="16"/>
              </w:rPr>
              <w:tab/>
              <w:t xml:space="preserve">Abschreibungen, Wertberichtigungen und Rückstellungen müssen vorgenommen werden, soweit sie nach allgemein </w:t>
            </w:r>
            <w:r w:rsidR="004E22B1" w:rsidRPr="0097080D">
              <w:rPr>
                <w:rFonts w:ascii="Arial" w:hAnsi="Arial"/>
                <w:sz w:val="16"/>
                <w:szCs w:val="16"/>
              </w:rPr>
              <w:tab/>
            </w:r>
            <w:r w:rsidRPr="0097080D">
              <w:rPr>
                <w:rFonts w:ascii="Arial" w:hAnsi="Arial"/>
                <w:sz w:val="16"/>
                <w:szCs w:val="16"/>
              </w:rPr>
              <w:t xml:space="preserve">anerkannten kaufmännischen Grundsätzen notwendig sind. Rückstellungen sind insbesondere zu bilden, um ungewisse </w:t>
            </w:r>
            <w:r w:rsidR="004E22B1" w:rsidRPr="0097080D">
              <w:rPr>
                <w:rFonts w:ascii="Arial" w:hAnsi="Arial"/>
                <w:sz w:val="16"/>
                <w:szCs w:val="16"/>
              </w:rPr>
              <w:tab/>
            </w:r>
            <w:r w:rsidRPr="0097080D">
              <w:rPr>
                <w:rFonts w:ascii="Arial" w:hAnsi="Arial"/>
                <w:sz w:val="16"/>
                <w:szCs w:val="16"/>
              </w:rPr>
              <w:t>Verpflichtungen und drohende Verluste aus schwebenden Geschäften zu decken.</w:t>
            </w:r>
          </w:p>
          <w:p w:rsidR="001A64AE" w:rsidRPr="0097080D" w:rsidRDefault="001A64AE" w:rsidP="001A64AE">
            <w:pPr>
              <w:rPr>
                <w:rFonts w:ascii="Arial" w:hAnsi="Arial"/>
                <w:sz w:val="16"/>
                <w:szCs w:val="16"/>
              </w:rPr>
            </w:pPr>
            <w:r w:rsidRPr="0097080D">
              <w:rPr>
                <w:rFonts w:ascii="Arial" w:hAnsi="Arial"/>
                <w:sz w:val="16"/>
                <w:szCs w:val="16"/>
              </w:rPr>
              <w:t>2</w:t>
            </w:r>
            <w:r w:rsidRPr="0097080D">
              <w:rPr>
                <w:rFonts w:ascii="Arial" w:hAnsi="Arial"/>
                <w:sz w:val="16"/>
                <w:szCs w:val="16"/>
              </w:rPr>
              <w:tab/>
              <w:t>Der Verwaltungsrat darf zu Wiederbeschaffungszwecken zusätzliche Abschreibungen, Wertberichtigungen und Rück</w:t>
            </w:r>
            <w:r w:rsidR="004E22B1" w:rsidRPr="0097080D">
              <w:rPr>
                <w:rFonts w:ascii="Arial" w:hAnsi="Arial"/>
                <w:sz w:val="16"/>
                <w:szCs w:val="16"/>
              </w:rPr>
              <w:tab/>
            </w:r>
            <w:proofErr w:type="spellStart"/>
            <w:r w:rsidRPr="0097080D">
              <w:rPr>
                <w:rFonts w:ascii="Arial" w:hAnsi="Arial"/>
                <w:sz w:val="16"/>
                <w:szCs w:val="16"/>
              </w:rPr>
              <w:t>stellungen</w:t>
            </w:r>
            <w:proofErr w:type="spellEnd"/>
            <w:r w:rsidRPr="0097080D">
              <w:rPr>
                <w:rFonts w:ascii="Arial" w:hAnsi="Arial"/>
                <w:sz w:val="16"/>
                <w:szCs w:val="16"/>
              </w:rPr>
              <w:t xml:space="preserve"> vornehmen und davon absehen, überflüssig gewordene Rückstellungen aufzulösen.</w:t>
            </w:r>
          </w:p>
          <w:p w:rsidR="00E03E97" w:rsidRPr="0097080D" w:rsidRDefault="001A64AE" w:rsidP="001A64AE">
            <w:pPr>
              <w:rPr>
                <w:rFonts w:ascii="Arial" w:hAnsi="Arial"/>
                <w:sz w:val="16"/>
                <w:szCs w:val="16"/>
              </w:rPr>
            </w:pPr>
            <w:r w:rsidRPr="0097080D">
              <w:rPr>
                <w:rFonts w:ascii="Arial" w:hAnsi="Arial"/>
                <w:sz w:val="16"/>
                <w:szCs w:val="16"/>
              </w:rPr>
              <w:t>3</w:t>
            </w:r>
            <w:r w:rsidRPr="0097080D">
              <w:rPr>
                <w:rFonts w:ascii="Arial" w:hAnsi="Arial"/>
                <w:sz w:val="16"/>
                <w:szCs w:val="16"/>
              </w:rPr>
              <w:tab/>
              <w:t>Stille Reserven, die darüber hinausgehen, sind zulässig, soweit die Rücksicht auf das dauernde Gedeihen des Unter</w:t>
            </w:r>
            <w:r w:rsidR="004E22B1" w:rsidRPr="0097080D">
              <w:rPr>
                <w:rFonts w:ascii="Arial" w:hAnsi="Arial"/>
                <w:sz w:val="16"/>
                <w:szCs w:val="16"/>
              </w:rPr>
              <w:tab/>
            </w:r>
            <w:proofErr w:type="spellStart"/>
            <w:r w:rsidRPr="0097080D">
              <w:rPr>
                <w:rFonts w:ascii="Arial" w:hAnsi="Arial"/>
                <w:sz w:val="16"/>
                <w:szCs w:val="16"/>
              </w:rPr>
              <w:t>nehmens</w:t>
            </w:r>
            <w:proofErr w:type="spellEnd"/>
            <w:r w:rsidRPr="0097080D">
              <w:rPr>
                <w:rFonts w:ascii="Arial" w:hAnsi="Arial"/>
                <w:sz w:val="16"/>
                <w:szCs w:val="16"/>
              </w:rPr>
              <w:t xml:space="preserve"> oder auf die Ausrichtung einer möglichst gleichmässigen Dividende es unter Berücksichtigung der Interessen </w:t>
            </w:r>
            <w:r w:rsidR="004E22B1" w:rsidRPr="0097080D">
              <w:rPr>
                <w:rFonts w:ascii="Arial" w:hAnsi="Arial"/>
                <w:sz w:val="16"/>
                <w:szCs w:val="16"/>
              </w:rPr>
              <w:tab/>
            </w:r>
            <w:r w:rsidRPr="0097080D">
              <w:rPr>
                <w:rFonts w:ascii="Arial" w:hAnsi="Arial"/>
                <w:sz w:val="16"/>
                <w:szCs w:val="16"/>
              </w:rPr>
              <w:t>der Aktionäre rechtfertigt.</w:t>
            </w:r>
          </w:p>
          <w:p w:rsidR="004E22B1" w:rsidRPr="0097080D" w:rsidRDefault="001A64AE" w:rsidP="001A64AE">
            <w:pPr>
              <w:rPr>
                <w:rFonts w:ascii="Arial" w:hAnsi="Arial"/>
                <w:sz w:val="16"/>
                <w:szCs w:val="16"/>
              </w:rPr>
            </w:pPr>
            <w:r w:rsidRPr="0097080D">
              <w:rPr>
                <w:rFonts w:ascii="Arial" w:hAnsi="Arial"/>
                <w:sz w:val="16"/>
                <w:szCs w:val="16"/>
              </w:rPr>
              <w:t>4</w:t>
            </w:r>
            <w:r w:rsidRPr="0097080D">
              <w:rPr>
                <w:rFonts w:ascii="Arial" w:hAnsi="Arial"/>
                <w:sz w:val="16"/>
                <w:szCs w:val="16"/>
              </w:rPr>
              <w:tab/>
              <w:t xml:space="preserve">Bildung und Auflösung von Wiederbeschaffungsreserven und darüber hinausgehenden stillen Reserven sind der </w:t>
            </w:r>
          </w:p>
          <w:p w:rsidR="001A64AE" w:rsidRPr="001A64AE" w:rsidRDefault="004E22B1" w:rsidP="001A64AE">
            <w:pPr>
              <w:rPr>
                <w:rFonts w:ascii="Arial" w:hAnsi="Arial"/>
                <w:sz w:val="20"/>
              </w:rPr>
            </w:pPr>
            <w:r w:rsidRPr="0097080D">
              <w:rPr>
                <w:rFonts w:ascii="Arial" w:hAnsi="Arial"/>
                <w:sz w:val="16"/>
                <w:szCs w:val="16"/>
              </w:rPr>
              <w:tab/>
            </w:r>
            <w:r w:rsidR="001A64AE" w:rsidRPr="0097080D">
              <w:rPr>
                <w:rFonts w:ascii="Arial" w:hAnsi="Arial"/>
                <w:sz w:val="16"/>
                <w:szCs w:val="16"/>
              </w:rPr>
              <w:t>Revisionsstelle im Einzelnen mitzuteilen.</w:t>
            </w:r>
          </w:p>
        </w:tc>
      </w:tr>
      <w:tr w:rsidR="004556B3" w:rsidTr="00D46367">
        <w:tc>
          <w:tcPr>
            <w:tcW w:w="9356" w:type="dxa"/>
          </w:tcPr>
          <w:p w:rsidR="004556B3" w:rsidRDefault="004556B3" w:rsidP="001A64AE">
            <w:pPr>
              <w:rPr>
                <w:rFonts w:ascii="Arial" w:hAnsi="Arial"/>
                <w:sz w:val="20"/>
              </w:rPr>
            </w:pPr>
          </w:p>
        </w:tc>
      </w:tr>
    </w:tbl>
    <w:p w:rsidR="00C474D0" w:rsidRPr="00A63A92" w:rsidRDefault="00C474D0" w:rsidP="006C1197">
      <w:pPr>
        <w:rPr>
          <w:rFonts w:ascii="Arial" w:hAnsi="Arial"/>
          <w:i/>
          <w:sz w:val="20"/>
          <w:lang w:eastAsia="de-CH"/>
        </w:rPr>
      </w:pPr>
    </w:p>
    <w:sectPr w:rsidR="00C474D0" w:rsidRPr="00A63A92" w:rsidSect="001467F6">
      <w:headerReference w:type="even" r:id="rId9"/>
      <w:headerReference w:type="default" r:id="rId10"/>
      <w:footerReference w:type="even" r:id="rId11"/>
      <w:footerReference w:type="default" r:id="rId12"/>
      <w:headerReference w:type="first" r:id="rId13"/>
      <w:footerReference w:type="first" r:id="rId14"/>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A2" w:rsidRDefault="005475A2">
      <w:r>
        <w:separator/>
      </w:r>
    </w:p>
  </w:endnote>
  <w:endnote w:type="continuationSeparator" w:id="0">
    <w:p w:rsidR="005475A2" w:rsidRDefault="0054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6D" w:rsidRDefault="008E7B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68" w:type="dxa"/>
        <w:right w:w="68" w:type="dxa"/>
      </w:tblCellMar>
      <w:tblLook w:val="0000" w:firstRow="0" w:lastRow="0" w:firstColumn="0" w:lastColumn="0" w:noHBand="0" w:noVBand="0"/>
    </w:tblPr>
    <w:tblGrid>
      <w:gridCol w:w="2754"/>
      <w:gridCol w:w="4633"/>
      <w:gridCol w:w="1969"/>
    </w:tblGrid>
    <w:tr w:rsidR="005475A2" w:rsidRPr="00E231F5" w:rsidTr="00A47B59">
      <w:trPr>
        <w:trHeight w:val="227"/>
      </w:trPr>
      <w:tc>
        <w:tcPr>
          <w:tcW w:w="2754" w:type="dxa"/>
          <w:shd w:val="clear" w:color="auto" w:fill="C7C0B9"/>
          <w:vAlign w:val="center"/>
        </w:tcPr>
        <w:p w:rsidR="005475A2" w:rsidRPr="00E231F5" w:rsidRDefault="005475A2"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5475A2" w:rsidRPr="00E231F5" w:rsidRDefault="005475A2"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5475A2" w:rsidRPr="00E231F5" w:rsidRDefault="005475A2"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C6B04">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5C6B04">
            <w:rPr>
              <w:rFonts w:ascii="Arial" w:hAnsi="Arial"/>
              <w:b/>
              <w:noProof/>
              <w:sz w:val="16"/>
              <w:szCs w:val="16"/>
            </w:rPr>
            <w:t>2</w:t>
          </w:r>
          <w:r w:rsidRPr="00E231F5">
            <w:rPr>
              <w:rFonts w:ascii="Arial" w:hAnsi="Arial"/>
              <w:b/>
              <w:noProof/>
              <w:sz w:val="16"/>
              <w:szCs w:val="16"/>
            </w:rPr>
            <w:fldChar w:fldCharType="end"/>
          </w:r>
        </w:p>
      </w:tc>
    </w:tr>
  </w:tbl>
  <w:p w:rsidR="005475A2" w:rsidRDefault="005475A2">
    <w:pPr>
      <w:pStyle w:val="Fuzeil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5475A2" w:rsidRPr="00E231F5" w:rsidTr="004F1B50">
      <w:trPr>
        <w:trHeight w:val="227"/>
      </w:trPr>
      <w:tc>
        <w:tcPr>
          <w:tcW w:w="2754" w:type="dxa"/>
          <w:shd w:val="clear" w:color="auto" w:fill="C7C0B9"/>
          <w:vAlign w:val="center"/>
        </w:tcPr>
        <w:p w:rsidR="005475A2" w:rsidRPr="00E231F5" w:rsidRDefault="005475A2"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5475A2" w:rsidRPr="00E231F5" w:rsidRDefault="005475A2"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5475A2" w:rsidRPr="00E231F5" w:rsidRDefault="005475A2"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C6B04">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5C6B04">
            <w:rPr>
              <w:rFonts w:ascii="Arial" w:hAnsi="Arial"/>
              <w:b/>
              <w:noProof/>
              <w:sz w:val="16"/>
              <w:szCs w:val="16"/>
            </w:rPr>
            <w:t>2</w:t>
          </w:r>
          <w:r w:rsidRPr="00E231F5">
            <w:rPr>
              <w:rFonts w:ascii="Arial" w:hAnsi="Arial"/>
              <w:b/>
              <w:noProof/>
              <w:sz w:val="16"/>
              <w:szCs w:val="16"/>
            </w:rPr>
            <w:fldChar w:fldCharType="end"/>
          </w:r>
        </w:p>
      </w:tc>
    </w:tr>
  </w:tbl>
  <w:p w:rsidR="005475A2" w:rsidRDefault="005475A2">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A2" w:rsidRDefault="005475A2">
      <w:r>
        <w:separator/>
      </w:r>
    </w:p>
  </w:footnote>
  <w:footnote w:type="continuationSeparator" w:id="0">
    <w:p w:rsidR="005475A2" w:rsidRDefault="0054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6D" w:rsidRDefault="008E7B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5475A2" w:rsidTr="00A47B59">
      <w:trPr>
        <w:trHeight w:hRule="exact" w:val="227"/>
      </w:trPr>
      <w:tc>
        <w:tcPr>
          <w:tcW w:w="9356" w:type="dxa"/>
          <w:gridSpan w:val="3"/>
        </w:tcPr>
        <w:p w:rsidR="005475A2" w:rsidRPr="008103E2" w:rsidRDefault="005475A2" w:rsidP="00A47B59">
          <w:pPr>
            <w:pStyle w:val="Kopfzeile"/>
            <w:rPr>
              <w:rFonts w:ascii="Arial" w:hAnsi="Arial"/>
              <w:sz w:val="20"/>
            </w:rPr>
          </w:pPr>
        </w:p>
      </w:tc>
    </w:tr>
    <w:tr w:rsidR="005475A2" w:rsidTr="00A47B59">
      <w:trPr>
        <w:trHeight w:hRule="exact" w:val="567"/>
      </w:trPr>
      <w:tc>
        <w:tcPr>
          <w:tcW w:w="3932" w:type="dxa"/>
          <w:vMerge w:val="restart"/>
        </w:tcPr>
        <w:p w:rsidR="005475A2" w:rsidRDefault="0097080D" w:rsidP="00A47B59">
          <w:pPr>
            <w:pStyle w:val="Kopfzeile"/>
          </w:pPr>
          <w:r>
            <w:rPr>
              <w:noProof/>
              <w:lang w:eastAsia="de-CH"/>
            </w:rPr>
            <w:drawing>
              <wp:inline distT="0" distB="0" distL="0" distR="0" wp14:anchorId="14DC8167" wp14:editId="6A5D00DE">
                <wp:extent cx="2412000" cy="613271"/>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5475A2" w:rsidRDefault="005475A2" w:rsidP="00A47B59">
          <w:pPr>
            <w:pStyle w:val="Kopfzeile"/>
            <w:jc w:val="center"/>
          </w:pPr>
        </w:p>
      </w:tc>
      <w:tc>
        <w:tcPr>
          <w:tcW w:w="3618" w:type="dxa"/>
          <w:vAlign w:val="bottom"/>
        </w:tcPr>
        <w:p w:rsidR="005475A2" w:rsidRDefault="005475A2" w:rsidP="001A64AE">
          <w:pPr>
            <w:pStyle w:val="Kopfzeile"/>
            <w:jc w:val="right"/>
            <w:rPr>
              <w:rFonts w:ascii="Arial" w:hAnsi="Arial"/>
              <w:b/>
              <w:sz w:val="24"/>
              <w:szCs w:val="24"/>
            </w:rPr>
          </w:pPr>
          <w:r>
            <w:rPr>
              <w:rFonts w:ascii="Arial" w:hAnsi="Arial"/>
              <w:b/>
              <w:sz w:val="24"/>
              <w:szCs w:val="24"/>
            </w:rPr>
            <w:t xml:space="preserve">Arbeitsblatt </w:t>
          </w:r>
          <w:r w:rsidR="001A64AE">
            <w:rPr>
              <w:rFonts w:ascii="Arial" w:hAnsi="Arial"/>
              <w:b/>
              <w:sz w:val="24"/>
              <w:szCs w:val="24"/>
            </w:rPr>
            <w:t>4</w:t>
          </w:r>
        </w:p>
        <w:p w:rsidR="008E7B6D" w:rsidRPr="002D01FD" w:rsidRDefault="008E7B6D" w:rsidP="001A64AE">
          <w:pPr>
            <w:pStyle w:val="Kopfzeile"/>
            <w:jc w:val="right"/>
            <w:rPr>
              <w:rFonts w:ascii="Arial" w:hAnsi="Arial"/>
              <w:b/>
              <w:sz w:val="24"/>
              <w:szCs w:val="24"/>
            </w:rPr>
          </w:pPr>
          <w:r>
            <w:rPr>
              <w:rFonts w:ascii="Arial" w:hAnsi="Arial"/>
              <w:b/>
              <w:sz w:val="24"/>
              <w:szCs w:val="24"/>
            </w:rPr>
            <w:t>Lösungen</w:t>
          </w:r>
        </w:p>
      </w:tc>
    </w:tr>
    <w:tr w:rsidR="005475A2" w:rsidTr="00A47B59">
      <w:trPr>
        <w:trHeight w:hRule="exact" w:val="397"/>
      </w:trPr>
      <w:tc>
        <w:tcPr>
          <w:tcW w:w="3932" w:type="dxa"/>
          <w:vMerge/>
        </w:tcPr>
        <w:p w:rsidR="005475A2" w:rsidRDefault="005475A2" w:rsidP="00A47B59">
          <w:pPr>
            <w:pStyle w:val="Kopfzeile"/>
            <w:rPr>
              <w:rFonts w:ascii="Arial" w:hAnsi="Arial"/>
              <w:noProof/>
              <w:sz w:val="26"/>
              <w:lang w:eastAsia="de-CH"/>
            </w:rPr>
          </w:pPr>
        </w:p>
      </w:tc>
      <w:tc>
        <w:tcPr>
          <w:tcW w:w="1806" w:type="dxa"/>
          <w:vMerge/>
        </w:tcPr>
        <w:p w:rsidR="005475A2" w:rsidRDefault="005475A2" w:rsidP="00A47B59">
          <w:pPr>
            <w:pStyle w:val="Kopfzeile"/>
          </w:pPr>
        </w:p>
      </w:tc>
      <w:tc>
        <w:tcPr>
          <w:tcW w:w="3618" w:type="dxa"/>
          <w:vAlign w:val="bottom"/>
        </w:tcPr>
        <w:p w:rsidR="005475A2" w:rsidRPr="002D01FD" w:rsidRDefault="005475A2" w:rsidP="00A47B59">
          <w:pPr>
            <w:pStyle w:val="Kopfzeile"/>
            <w:jc w:val="right"/>
            <w:rPr>
              <w:rFonts w:ascii="Arial" w:hAnsi="Arial"/>
              <w:b/>
              <w:sz w:val="24"/>
              <w:szCs w:val="24"/>
            </w:rPr>
          </w:pPr>
        </w:p>
      </w:tc>
    </w:tr>
    <w:tr w:rsidR="005475A2" w:rsidTr="00A47B59">
      <w:trPr>
        <w:trHeight w:hRule="exact" w:val="227"/>
      </w:trPr>
      <w:tc>
        <w:tcPr>
          <w:tcW w:w="9356" w:type="dxa"/>
          <w:gridSpan w:val="3"/>
        </w:tcPr>
        <w:p w:rsidR="005475A2" w:rsidRDefault="005475A2" w:rsidP="00A47B59">
          <w:pPr>
            <w:pStyle w:val="Kopfzeile"/>
          </w:pPr>
        </w:p>
      </w:tc>
    </w:tr>
    <w:tr w:rsidR="005475A2" w:rsidTr="00A47B59">
      <w:tc>
        <w:tcPr>
          <w:tcW w:w="9356" w:type="dxa"/>
          <w:gridSpan w:val="3"/>
          <w:shd w:val="clear" w:color="auto" w:fill="C7C0B9"/>
          <w:vAlign w:val="center"/>
        </w:tcPr>
        <w:p w:rsidR="005475A2" w:rsidRPr="00E53CA0" w:rsidRDefault="005475A2" w:rsidP="008E39E3">
          <w:pPr>
            <w:pStyle w:val="Kopfzeile"/>
            <w:rPr>
              <w:rFonts w:ascii="Arial" w:hAnsi="Arial"/>
              <w:b/>
              <w:sz w:val="20"/>
            </w:rPr>
          </w:pPr>
          <w:r>
            <w:rPr>
              <w:rFonts w:ascii="Arial" w:hAnsi="Arial"/>
              <w:b/>
              <w:sz w:val="20"/>
            </w:rPr>
            <w:t>Geld und Fussball</w:t>
          </w:r>
        </w:p>
      </w:tc>
    </w:tr>
  </w:tbl>
  <w:p w:rsidR="005475A2" w:rsidRPr="00F0097F" w:rsidRDefault="005475A2">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1872"/>
      <w:gridCol w:w="1746"/>
    </w:tblGrid>
    <w:tr w:rsidR="005475A2" w:rsidTr="003750C0">
      <w:trPr>
        <w:trHeight w:val="227"/>
      </w:trPr>
      <w:tc>
        <w:tcPr>
          <w:tcW w:w="9356" w:type="dxa"/>
          <w:gridSpan w:val="6"/>
          <w:vAlign w:val="center"/>
        </w:tcPr>
        <w:p w:rsidR="005475A2" w:rsidRPr="00092BCF" w:rsidRDefault="005475A2" w:rsidP="003750C0">
          <w:pPr>
            <w:pStyle w:val="Kopfzeile"/>
            <w:rPr>
              <w:rFonts w:ascii="Arial" w:hAnsi="Arial"/>
              <w:sz w:val="20"/>
            </w:rPr>
          </w:pPr>
        </w:p>
      </w:tc>
    </w:tr>
    <w:tr w:rsidR="005475A2" w:rsidTr="003750C0">
      <w:trPr>
        <w:trHeight w:hRule="exact" w:val="567"/>
      </w:trPr>
      <w:tc>
        <w:tcPr>
          <w:tcW w:w="3932" w:type="dxa"/>
          <w:gridSpan w:val="3"/>
          <w:vMerge w:val="restart"/>
        </w:tcPr>
        <w:p w:rsidR="005475A2" w:rsidRDefault="009176A6" w:rsidP="003750C0">
          <w:pPr>
            <w:pStyle w:val="Kopfzeile"/>
          </w:pPr>
          <w:r>
            <w:rPr>
              <w:noProof/>
              <w:lang w:eastAsia="de-CH"/>
            </w:rPr>
            <w:drawing>
              <wp:inline distT="0" distB="0" distL="0" distR="0" wp14:anchorId="51445ACB" wp14:editId="465BFCC1">
                <wp:extent cx="2412000" cy="613271"/>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5475A2" w:rsidRDefault="005475A2" w:rsidP="003750C0">
          <w:pPr>
            <w:pStyle w:val="Kopfzeile"/>
          </w:pPr>
        </w:p>
        <w:p w:rsidR="005475A2" w:rsidRPr="0008046F" w:rsidRDefault="005475A2" w:rsidP="003750C0">
          <w:pPr>
            <w:jc w:val="center"/>
          </w:pPr>
        </w:p>
      </w:tc>
      <w:tc>
        <w:tcPr>
          <w:tcW w:w="3618" w:type="dxa"/>
          <w:gridSpan w:val="2"/>
          <w:vAlign w:val="bottom"/>
        </w:tcPr>
        <w:p w:rsidR="005475A2" w:rsidRDefault="005475A2" w:rsidP="00B15998">
          <w:pPr>
            <w:pStyle w:val="Kopfzeile"/>
            <w:jc w:val="right"/>
            <w:rPr>
              <w:rFonts w:ascii="Arial" w:hAnsi="Arial"/>
              <w:b/>
              <w:sz w:val="24"/>
              <w:szCs w:val="24"/>
            </w:rPr>
          </w:pPr>
          <w:r>
            <w:rPr>
              <w:rFonts w:ascii="Arial" w:hAnsi="Arial"/>
              <w:b/>
              <w:sz w:val="24"/>
              <w:szCs w:val="24"/>
            </w:rPr>
            <w:t xml:space="preserve">Arbeitsblatt </w:t>
          </w:r>
          <w:r w:rsidR="00B15998">
            <w:rPr>
              <w:rFonts w:ascii="Arial" w:hAnsi="Arial"/>
              <w:b/>
              <w:sz w:val="24"/>
              <w:szCs w:val="24"/>
            </w:rPr>
            <w:t>4</w:t>
          </w:r>
        </w:p>
        <w:p w:rsidR="00D345E7" w:rsidRPr="002D01FD" w:rsidRDefault="00D345E7" w:rsidP="00B15998">
          <w:pPr>
            <w:pStyle w:val="Kopfzeile"/>
            <w:jc w:val="right"/>
            <w:rPr>
              <w:rFonts w:ascii="Arial" w:hAnsi="Arial"/>
              <w:b/>
              <w:sz w:val="24"/>
              <w:szCs w:val="24"/>
            </w:rPr>
          </w:pPr>
          <w:r>
            <w:rPr>
              <w:rFonts w:ascii="Arial" w:hAnsi="Arial"/>
              <w:b/>
              <w:sz w:val="24"/>
              <w:szCs w:val="24"/>
            </w:rPr>
            <w:t>Lösungen</w:t>
          </w:r>
        </w:p>
      </w:tc>
    </w:tr>
    <w:tr w:rsidR="005475A2" w:rsidTr="003750C0">
      <w:trPr>
        <w:trHeight w:hRule="exact" w:val="397"/>
      </w:trPr>
      <w:tc>
        <w:tcPr>
          <w:tcW w:w="3932" w:type="dxa"/>
          <w:gridSpan w:val="3"/>
          <w:vMerge/>
        </w:tcPr>
        <w:p w:rsidR="005475A2" w:rsidRDefault="005475A2" w:rsidP="003750C0">
          <w:pPr>
            <w:pStyle w:val="Kopfzeile"/>
            <w:rPr>
              <w:rFonts w:ascii="Arial" w:hAnsi="Arial"/>
              <w:noProof/>
              <w:sz w:val="26"/>
              <w:lang w:eastAsia="de-CH"/>
            </w:rPr>
          </w:pPr>
        </w:p>
      </w:tc>
      <w:tc>
        <w:tcPr>
          <w:tcW w:w="1806" w:type="dxa"/>
          <w:vMerge/>
        </w:tcPr>
        <w:p w:rsidR="005475A2" w:rsidRDefault="005475A2" w:rsidP="003750C0">
          <w:pPr>
            <w:pStyle w:val="Kopfzeile"/>
          </w:pPr>
        </w:p>
      </w:tc>
      <w:tc>
        <w:tcPr>
          <w:tcW w:w="3618" w:type="dxa"/>
          <w:gridSpan w:val="2"/>
          <w:vAlign w:val="bottom"/>
        </w:tcPr>
        <w:p w:rsidR="005475A2" w:rsidRPr="002D01FD" w:rsidRDefault="005475A2" w:rsidP="003750C0">
          <w:pPr>
            <w:pStyle w:val="Kopfzeile"/>
            <w:jc w:val="right"/>
            <w:rPr>
              <w:rFonts w:ascii="Arial" w:hAnsi="Arial"/>
              <w:b/>
              <w:sz w:val="24"/>
              <w:szCs w:val="24"/>
            </w:rPr>
          </w:pPr>
        </w:p>
      </w:tc>
    </w:tr>
    <w:tr w:rsidR="005475A2" w:rsidTr="003750C0">
      <w:trPr>
        <w:trHeight w:hRule="exact" w:val="227"/>
      </w:trPr>
      <w:tc>
        <w:tcPr>
          <w:tcW w:w="9356" w:type="dxa"/>
          <w:gridSpan w:val="6"/>
        </w:tcPr>
        <w:p w:rsidR="005475A2" w:rsidRPr="00092BCF" w:rsidRDefault="005475A2" w:rsidP="003750C0">
          <w:pPr>
            <w:pStyle w:val="Kopfzeile"/>
            <w:rPr>
              <w:rFonts w:ascii="Arial" w:hAnsi="Arial"/>
              <w:sz w:val="20"/>
            </w:rPr>
          </w:pPr>
        </w:p>
      </w:tc>
    </w:tr>
    <w:tr w:rsidR="005475A2" w:rsidTr="003750C0">
      <w:trPr>
        <w:trHeight w:hRule="exact" w:val="227"/>
      </w:trPr>
      <w:tc>
        <w:tcPr>
          <w:tcW w:w="2762" w:type="dxa"/>
          <w:vMerge w:val="restart"/>
          <w:vAlign w:val="center"/>
        </w:tcPr>
        <w:p w:rsidR="005475A2" w:rsidRDefault="005C6B04" w:rsidP="003750C0">
          <w:pPr>
            <w:pStyle w:val="Kopfzeile"/>
          </w:pPr>
          <w:r>
            <w:rPr>
              <w:noProof/>
              <w:lang w:eastAsia="de-CH"/>
            </w:rPr>
            <w:drawing>
              <wp:inline distT="0" distB="0" distL="0" distR="0" wp14:anchorId="51FC5E3D" wp14:editId="59B83A1A">
                <wp:extent cx="1663200" cy="9368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 und Fussball.jpg"/>
                        <pic:cNvPicPr/>
                      </pic:nvPicPr>
                      <pic:blipFill>
                        <a:blip r:embed="rId2">
                          <a:extLst>
                            <a:ext uri="{28A0092B-C50C-407E-A947-70E740481C1C}">
                              <a14:useLocalDpi xmlns:a14="http://schemas.microsoft.com/office/drawing/2010/main" val="0"/>
                            </a:ext>
                          </a:extLst>
                        </a:blip>
                        <a:stretch>
                          <a:fillRect/>
                        </a:stretch>
                      </pic:blipFill>
                      <pic:spPr>
                        <a:xfrm>
                          <a:off x="0" y="0"/>
                          <a:ext cx="1663200" cy="936840"/>
                        </a:xfrm>
                        <a:prstGeom prst="rect">
                          <a:avLst/>
                        </a:prstGeom>
                      </pic:spPr>
                    </pic:pic>
                  </a:graphicData>
                </a:graphic>
              </wp:inline>
            </w:drawing>
          </w:r>
        </w:p>
      </w:tc>
      <w:tc>
        <w:tcPr>
          <w:tcW w:w="170" w:type="dxa"/>
          <w:vMerge w:val="restart"/>
        </w:tcPr>
        <w:p w:rsidR="005475A2" w:rsidRDefault="005475A2" w:rsidP="003750C0">
          <w:pPr>
            <w:pStyle w:val="Kopfzeile"/>
          </w:pPr>
        </w:p>
      </w:tc>
      <w:tc>
        <w:tcPr>
          <w:tcW w:w="4678" w:type="dxa"/>
          <w:gridSpan w:val="3"/>
          <w:shd w:val="clear" w:color="auto" w:fill="C7C0B9"/>
          <w:vAlign w:val="center"/>
        </w:tcPr>
        <w:p w:rsidR="005475A2" w:rsidRPr="002D01FD" w:rsidRDefault="005475A2" w:rsidP="003750C0">
          <w:pPr>
            <w:pStyle w:val="Kopfzeile"/>
            <w:rPr>
              <w:rFonts w:ascii="Arial" w:hAnsi="Arial"/>
              <w:sz w:val="18"/>
              <w:szCs w:val="18"/>
            </w:rPr>
          </w:pPr>
          <w:r>
            <w:rPr>
              <w:rFonts w:ascii="Arial" w:hAnsi="Arial"/>
              <w:sz w:val="18"/>
            </w:rPr>
            <w:t>Wirtschaft für Sek II</w:t>
          </w:r>
        </w:p>
      </w:tc>
      <w:tc>
        <w:tcPr>
          <w:tcW w:w="1746" w:type="dxa"/>
          <w:shd w:val="clear" w:color="auto" w:fill="C7C0B9"/>
          <w:vAlign w:val="center"/>
        </w:tcPr>
        <w:p w:rsidR="005475A2" w:rsidRPr="002D01FD" w:rsidRDefault="005475A2" w:rsidP="003750C0">
          <w:pPr>
            <w:pStyle w:val="Kopfzeile"/>
            <w:jc w:val="right"/>
            <w:rPr>
              <w:rFonts w:ascii="Arial" w:hAnsi="Arial"/>
              <w:sz w:val="18"/>
              <w:szCs w:val="18"/>
            </w:rPr>
          </w:pPr>
        </w:p>
      </w:tc>
    </w:tr>
    <w:tr w:rsidR="005475A2" w:rsidTr="003750C0">
      <w:trPr>
        <w:trHeight w:hRule="exact" w:val="454"/>
      </w:trPr>
      <w:tc>
        <w:tcPr>
          <w:tcW w:w="2762" w:type="dxa"/>
          <w:vMerge/>
        </w:tcPr>
        <w:p w:rsidR="005475A2" w:rsidRDefault="005475A2" w:rsidP="003750C0">
          <w:pPr>
            <w:pStyle w:val="Kopfzeile"/>
          </w:pPr>
        </w:p>
      </w:tc>
      <w:tc>
        <w:tcPr>
          <w:tcW w:w="170" w:type="dxa"/>
          <w:vMerge/>
        </w:tcPr>
        <w:p w:rsidR="005475A2" w:rsidRDefault="005475A2" w:rsidP="003750C0">
          <w:pPr>
            <w:pStyle w:val="Kopfzeile"/>
          </w:pPr>
        </w:p>
      </w:tc>
      <w:tc>
        <w:tcPr>
          <w:tcW w:w="6424" w:type="dxa"/>
          <w:gridSpan w:val="4"/>
          <w:shd w:val="clear" w:color="auto" w:fill="EAEAEA"/>
          <w:vAlign w:val="bottom"/>
        </w:tcPr>
        <w:p w:rsidR="005475A2" w:rsidRPr="00C86D4C" w:rsidRDefault="005475A2" w:rsidP="003750C0">
          <w:pPr>
            <w:pStyle w:val="Kopfzeile"/>
            <w:rPr>
              <w:rFonts w:ascii="Arial" w:hAnsi="Arial"/>
              <w:b/>
              <w:sz w:val="16"/>
              <w:szCs w:val="24"/>
            </w:rPr>
          </w:pPr>
        </w:p>
        <w:p w:rsidR="005475A2" w:rsidRPr="005C6B04" w:rsidRDefault="005475A2" w:rsidP="004606DB">
          <w:pPr>
            <w:pStyle w:val="Kopfzeile"/>
            <w:rPr>
              <w:rFonts w:ascii="Arial" w:hAnsi="Arial"/>
              <w:b/>
              <w:szCs w:val="22"/>
            </w:rPr>
          </w:pPr>
          <w:bookmarkStart w:id="0" w:name="_GoBack"/>
          <w:r w:rsidRPr="005C6B04">
            <w:rPr>
              <w:rFonts w:ascii="Arial" w:hAnsi="Arial"/>
              <w:b/>
              <w:szCs w:val="22"/>
            </w:rPr>
            <w:t>Geld und Fussball</w:t>
          </w:r>
          <w:bookmarkEnd w:id="0"/>
        </w:p>
      </w:tc>
    </w:tr>
    <w:tr w:rsidR="005475A2" w:rsidTr="00B40E89">
      <w:trPr>
        <w:trHeight w:hRule="exact" w:val="811"/>
      </w:trPr>
      <w:tc>
        <w:tcPr>
          <w:tcW w:w="2762" w:type="dxa"/>
          <w:vMerge/>
        </w:tcPr>
        <w:p w:rsidR="005475A2" w:rsidRDefault="005475A2" w:rsidP="003750C0">
          <w:pPr>
            <w:pStyle w:val="Kopfzeile"/>
          </w:pPr>
        </w:p>
      </w:tc>
      <w:tc>
        <w:tcPr>
          <w:tcW w:w="170" w:type="dxa"/>
          <w:vMerge/>
        </w:tcPr>
        <w:p w:rsidR="005475A2" w:rsidRDefault="005475A2" w:rsidP="003750C0">
          <w:pPr>
            <w:pStyle w:val="Kopfzeile"/>
          </w:pPr>
        </w:p>
      </w:tc>
      <w:tc>
        <w:tcPr>
          <w:tcW w:w="6424" w:type="dxa"/>
          <w:gridSpan w:val="4"/>
          <w:shd w:val="clear" w:color="auto" w:fill="EAEAEA"/>
        </w:tcPr>
        <w:p w:rsidR="004606DB" w:rsidRPr="004606DB" w:rsidRDefault="00B15998" w:rsidP="00E4530D">
          <w:pPr>
            <w:pStyle w:val="Kopfzeile"/>
            <w:rPr>
              <w:rFonts w:ascii="Arial" w:hAnsi="Arial"/>
              <w:sz w:val="16"/>
            </w:rPr>
          </w:pPr>
          <w:r w:rsidRPr="00EB4F2D">
            <w:rPr>
              <w:rFonts w:ascii="Arial" w:hAnsi="Arial"/>
              <w:sz w:val="16"/>
            </w:rPr>
            <w:t>FCB-Präsident</w:t>
          </w:r>
          <w:r>
            <w:rPr>
              <w:rFonts w:ascii="Arial" w:hAnsi="Arial"/>
              <w:sz w:val="16"/>
            </w:rPr>
            <w:t xml:space="preserve"> </w:t>
          </w:r>
          <w:proofErr w:type="spellStart"/>
          <w:r>
            <w:rPr>
              <w:rFonts w:ascii="Arial" w:hAnsi="Arial"/>
              <w:sz w:val="16"/>
            </w:rPr>
            <w:t>Heusler</w:t>
          </w:r>
          <w:proofErr w:type="spellEnd"/>
          <w:r w:rsidRPr="00EB4F2D">
            <w:rPr>
              <w:rFonts w:ascii="Arial" w:hAnsi="Arial"/>
              <w:sz w:val="16"/>
            </w:rPr>
            <w:t xml:space="preserve"> über stille Reserven </w:t>
          </w:r>
          <w:r>
            <w:rPr>
              <w:rFonts w:ascii="Arial" w:hAnsi="Arial"/>
              <w:sz w:val="16"/>
            </w:rPr>
            <w:t>(ECO, 12.03.2012)</w:t>
          </w:r>
          <w:r w:rsidRPr="00EB4F2D">
            <w:rPr>
              <w:rFonts w:ascii="Arial" w:hAnsi="Arial"/>
              <w:sz w:val="16"/>
            </w:rPr>
            <w:t xml:space="preserve"> 0</w:t>
          </w:r>
          <w:r>
            <w:rPr>
              <w:rFonts w:ascii="Arial" w:hAnsi="Arial"/>
              <w:sz w:val="16"/>
            </w:rPr>
            <w:t>0</w:t>
          </w:r>
          <w:r w:rsidRPr="00EB4F2D">
            <w:rPr>
              <w:rFonts w:ascii="Arial" w:hAnsi="Arial"/>
              <w:sz w:val="16"/>
            </w:rPr>
            <w:t>:</w:t>
          </w:r>
          <w:r>
            <w:rPr>
              <w:rFonts w:ascii="Arial" w:hAnsi="Arial"/>
              <w:sz w:val="16"/>
            </w:rPr>
            <w:t>51</w:t>
          </w:r>
          <w:r w:rsidRPr="00EB4F2D">
            <w:rPr>
              <w:rFonts w:ascii="Arial" w:hAnsi="Arial"/>
              <w:sz w:val="16"/>
            </w:rPr>
            <w:t xml:space="preserve"> min</w:t>
          </w:r>
        </w:p>
      </w:tc>
    </w:tr>
  </w:tbl>
  <w:p w:rsidR="005475A2" w:rsidRPr="00F0097F" w:rsidRDefault="005475A2">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AB8"/>
    <w:multiLevelType w:val="hybridMultilevel"/>
    <w:tmpl w:val="232221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BFB7C70"/>
    <w:multiLevelType w:val="hybridMultilevel"/>
    <w:tmpl w:val="3E2C82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29C3909"/>
    <w:multiLevelType w:val="hybridMultilevel"/>
    <w:tmpl w:val="88407F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4F31C22"/>
    <w:multiLevelType w:val="hybridMultilevel"/>
    <w:tmpl w:val="F9863EFA"/>
    <w:lvl w:ilvl="0" w:tplc="8A5425A2">
      <w:start w:val="1"/>
      <w:numFmt w:val="decimal"/>
      <w:lvlText w:val="%1)"/>
      <w:lvlJc w:val="left"/>
      <w:pPr>
        <w:ind w:left="720" w:hanging="360"/>
      </w:pPr>
      <w:rPr>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C4314E8"/>
    <w:multiLevelType w:val="hybridMultilevel"/>
    <w:tmpl w:val="AE987AA2"/>
    <w:lvl w:ilvl="0" w:tplc="456491B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1">
    <w:nsid w:val="46112C35"/>
    <w:multiLevelType w:val="hybridMultilevel"/>
    <w:tmpl w:val="B7581C70"/>
    <w:lvl w:ilvl="0" w:tplc="0807000F">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1420896"/>
    <w:multiLevelType w:val="hybridMultilevel"/>
    <w:tmpl w:val="158E549E"/>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54AD2DED"/>
    <w:multiLevelType w:val="hybridMultilevel"/>
    <w:tmpl w:val="58729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9A01107"/>
    <w:multiLevelType w:val="hybridMultilevel"/>
    <w:tmpl w:val="1F0EE7B0"/>
    <w:lvl w:ilvl="0" w:tplc="0F7E9D54">
      <w:start w:val="1"/>
      <w:numFmt w:val="decimal"/>
      <w:lvlText w:val="%1."/>
      <w:lvlJc w:val="left"/>
      <w:pPr>
        <w:ind w:left="720" w:hanging="360"/>
      </w:pPr>
      <w:rPr>
        <w:i w:val="0"/>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DAD4F6A"/>
    <w:multiLevelType w:val="hybridMultilevel"/>
    <w:tmpl w:val="1308890C"/>
    <w:lvl w:ilvl="0" w:tplc="3222A0C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4"/>
  </w:num>
  <w:num w:numId="4">
    <w:abstractNumId w:val="21"/>
  </w:num>
  <w:num w:numId="5">
    <w:abstractNumId w:val="20"/>
  </w:num>
  <w:num w:numId="6">
    <w:abstractNumId w:val="17"/>
  </w:num>
  <w:num w:numId="7">
    <w:abstractNumId w:val="6"/>
  </w:num>
  <w:num w:numId="8">
    <w:abstractNumId w:val="2"/>
  </w:num>
  <w:num w:numId="9">
    <w:abstractNumId w:val="19"/>
  </w:num>
  <w:num w:numId="10">
    <w:abstractNumId w:val="3"/>
  </w:num>
  <w:num w:numId="11">
    <w:abstractNumId w:val="12"/>
  </w:num>
  <w:num w:numId="12">
    <w:abstractNumId w:val="1"/>
  </w:num>
  <w:num w:numId="13">
    <w:abstractNumId w:val="18"/>
  </w:num>
  <w:num w:numId="14">
    <w:abstractNumId w:val="15"/>
  </w:num>
  <w:num w:numId="15">
    <w:abstractNumId w:val="16"/>
  </w:num>
  <w:num w:numId="16">
    <w:abstractNumId w:val="9"/>
  </w:num>
  <w:num w:numId="17">
    <w:abstractNumId w:val="14"/>
  </w:num>
  <w:num w:numId="18">
    <w:abstractNumId w:val="8"/>
  </w:num>
  <w:num w:numId="19">
    <w:abstractNumId w:val="10"/>
  </w:num>
  <w:num w:numId="20">
    <w:abstractNumId w:val="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autoHyphenation/>
  <w:hyphenationZone w:val="425"/>
  <w:doNotShadeFormData/>
  <w:noPunctuationKerning/>
  <w:characterSpacingControl w:val="doNotCompress"/>
  <w:hdrShapeDefaults>
    <o:shapedefaults v:ext="edit" spidmax="634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D"/>
    <w:rsid w:val="00012008"/>
    <w:rsid w:val="000127D3"/>
    <w:rsid w:val="00013301"/>
    <w:rsid w:val="00034C0B"/>
    <w:rsid w:val="000542A1"/>
    <w:rsid w:val="00054A08"/>
    <w:rsid w:val="00060468"/>
    <w:rsid w:val="00061923"/>
    <w:rsid w:val="0006345C"/>
    <w:rsid w:val="00065561"/>
    <w:rsid w:val="00070869"/>
    <w:rsid w:val="00070E33"/>
    <w:rsid w:val="000752ED"/>
    <w:rsid w:val="00084979"/>
    <w:rsid w:val="00085A93"/>
    <w:rsid w:val="00085CEA"/>
    <w:rsid w:val="00086C9A"/>
    <w:rsid w:val="000950B9"/>
    <w:rsid w:val="000A087E"/>
    <w:rsid w:val="000B1B25"/>
    <w:rsid w:val="000B7030"/>
    <w:rsid w:val="000B73FE"/>
    <w:rsid w:val="000C21CF"/>
    <w:rsid w:val="000F1F22"/>
    <w:rsid w:val="000F5955"/>
    <w:rsid w:val="000F750F"/>
    <w:rsid w:val="00101A8C"/>
    <w:rsid w:val="00101BE1"/>
    <w:rsid w:val="00114139"/>
    <w:rsid w:val="001176D3"/>
    <w:rsid w:val="00143CB8"/>
    <w:rsid w:val="00143D26"/>
    <w:rsid w:val="001467F6"/>
    <w:rsid w:val="00146CE7"/>
    <w:rsid w:val="00150F69"/>
    <w:rsid w:val="00151CE5"/>
    <w:rsid w:val="00152110"/>
    <w:rsid w:val="00166279"/>
    <w:rsid w:val="001748CD"/>
    <w:rsid w:val="001803DA"/>
    <w:rsid w:val="00195A0E"/>
    <w:rsid w:val="001A3224"/>
    <w:rsid w:val="001A64AE"/>
    <w:rsid w:val="001B3C76"/>
    <w:rsid w:val="001B77E2"/>
    <w:rsid w:val="001D0BC9"/>
    <w:rsid w:val="00200957"/>
    <w:rsid w:val="002049FF"/>
    <w:rsid w:val="00204A26"/>
    <w:rsid w:val="002338AA"/>
    <w:rsid w:val="00233B90"/>
    <w:rsid w:val="00241306"/>
    <w:rsid w:val="00244868"/>
    <w:rsid w:val="00253F37"/>
    <w:rsid w:val="00255804"/>
    <w:rsid w:val="002558F8"/>
    <w:rsid w:val="00257F9B"/>
    <w:rsid w:val="00261B90"/>
    <w:rsid w:val="00283B39"/>
    <w:rsid w:val="0028586C"/>
    <w:rsid w:val="002B49F7"/>
    <w:rsid w:val="002C5156"/>
    <w:rsid w:val="002C6B1D"/>
    <w:rsid w:val="002C6DBD"/>
    <w:rsid w:val="002D00AC"/>
    <w:rsid w:val="002E077C"/>
    <w:rsid w:val="002E4986"/>
    <w:rsid w:val="002E546B"/>
    <w:rsid w:val="002F39EF"/>
    <w:rsid w:val="00302C5C"/>
    <w:rsid w:val="00316F2A"/>
    <w:rsid w:val="00323D0D"/>
    <w:rsid w:val="00330A77"/>
    <w:rsid w:val="003429F6"/>
    <w:rsid w:val="003601B9"/>
    <w:rsid w:val="00362952"/>
    <w:rsid w:val="003750C0"/>
    <w:rsid w:val="00380429"/>
    <w:rsid w:val="00384482"/>
    <w:rsid w:val="00386693"/>
    <w:rsid w:val="003B7E23"/>
    <w:rsid w:val="003D3134"/>
    <w:rsid w:val="003D621C"/>
    <w:rsid w:val="003E7FF0"/>
    <w:rsid w:val="003F06B3"/>
    <w:rsid w:val="003F6BE6"/>
    <w:rsid w:val="00410447"/>
    <w:rsid w:val="00415BC5"/>
    <w:rsid w:val="0044097B"/>
    <w:rsid w:val="00442666"/>
    <w:rsid w:val="0044293F"/>
    <w:rsid w:val="00451D90"/>
    <w:rsid w:val="004554C2"/>
    <w:rsid w:val="004556B3"/>
    <w:rsid w:val="004606DB"/>
    <w:rsid w:val="00470262"/>
    <w:rsid w:val="00480092"/>
    <w:rsid w:val="00484370"/>
    <w:rsid w:val="00485C23"/>
    <w:rsid w:val="00491FA5"/>
    <w:rsid w:val="00492EE6"/>
    <w:rsid w:val="00497544"/>
    <w:rsid w:val="004B0B5D"/>
    <w:rsid w:val="004B1968"/>
    <w:rsid w:val="004B6E8A"/>
    <w:rsid w:val="004C3AF7"/>
    <w:rsid w:val="004C40A4"/>
    <w:rsid w:val="004D49D5"/>
    <w:rsid w:val="004E0446"/>
    <w:rsid w:val="004E22B1"/>
    <w:rsid w:val="004E267D"/>
    <w:rsid w:val="004E5D66"/>
    <w:rsid w:val="004F1B50"/>
    <w:rsid w:val="005149F7"/>
    <w:rsid w:val="00516997"/>
    <w:rsid w:val="005421AF"/>
    <w:rsid w:val="00543A6C"/>
    <w:rsid w:val="005475A2"/>
    <w:rsid w:val="0056227C"/>
    <w:rsid w:val="005734DC"/>
    <w:rsid w:val="0058095E"/>
    <w:rsid w:val="00583D3E"/>
    <w:rsid w:val="005841F8"/>
    <w:rsid w:val="005850A5"/>
    <w:rsid w:val="00596284"/>
    <w:rsid w:val="005A024E"/>
    <w:rsid w:val="005B2FF2"/>
    <w:rsid w:val="005B7135"/>
    <w:rsid w:val="005C6985"/>
    <w:rsid w:val="005C6B04"/>
    <w:rsid w:val="005D1E03"/>
    <w:rsid w:val="005D7D38"/>
    <w:rsid w:val="005F6BBF"/>
    <w:rsid w:val="00601ECB"/>
    <w:rsid w:val="00614018"/>
    <w:rsid w:val="00614605"/>
    <w:rsid w:val="006524D0"/>
    <w:rsid w:val="00661563"/>
    <w:rsid w:val="00667D87"/>
    <w:rsid w:val="00671A02"/>
    <w:rsid w:val="006837EB"/>
    <w:rsid w:val="00692287"/>
    <w:rsid w:val="00695AC4"/>
    <w:rsid w:val="00696D22"/>
    <w:rsid w:val="006A0C06"/>
    <w:rsid w:val="006A3A72"/>
    <w:rsid w:val="006C1197"/>
    <w:rsid w:val="006D1C8D"/>
    <w:rsid w:val="006E2F5F"/>
    <w:rsid w:val="006E6675"/>
    <w:rsid w:val="006E7C95"/>
    <w:rsid w:val="006F0AE2"/>
    <w:rsid w:val="0070285A"/>
    <w:rsid w:val="00724A6B"/>
    <w:rsid w:val="00725421"/>
    <w:rsid w:val="00727FA1"/>
    <w:rsid w:val="00755E23"/>
    <w:rsid w:val="00766C9D"/>
    <w:rsid w:val="007710E0"/>
    <w:rsid w:val="007776A8"/>
    <w:rsid w:val="00790266"/>
    <w:rsid w:val="00793AB2"/>
    <w:rsid w:val="00796C17"/>
    <w:rsid w:val="007B0B1A"/>
    <w:rsid w:val="007B5612"/>
    <w:rsid w:val="007B615D"/>
    <w:rsid w:val="007C29FB"/>
    <w:rsid w:val="007F50C8"/>
    <w:rsid w:val="007F5172"/>
    <w:rsid w:val="008157D9"/>
    <w:rsid w:val="0081613A"/>
    <w:rsid w:val="00833799"/>
    <w:rsid w:val="008338DE"/>
    <w:rsid w:val="00837C30"/>
    <w:rsid w:val="00854008"/>
    <w:rsid w:val="00863425"/>
    <w:rsid w:val="008638DA"/>
    <w:rsid w:val="008730DE"/>
    <w:rsid w:val="008750A5"/>
    <w:rsid w:val="0089406F"/>
    <w:rsid w:val="008A249F"/>
    <w:rsid w:val="008B2AC2"/>
    <w:rsid w:val="008C13CF"/>
    <w:rsid w:val="008C2425"/>
    <w:rsid w:val="008E39E3"/>
    <w:rsid w:val="008E4517"/>
    <w:rsid w:val="008E6883"/>
    <w:rsid w:val="008E6B2D"/>
    <w:rsid w:val="008E7B6D"/>
    <w:rsid w:val="008F11F0"/>
    <w:rsid w:val="0090365D"/>
    <w:rsid w:val="00910E06"/>
    <w:rsid w:val="00912111"/>
    <w:rsid w:val="009176A6"/>
    <w:rsid w:val="00931A69"/>
    <w:rsid w:val="00937AF7"/>
    <w:rsid w:val="009463F4"/>
    <w:rsid w:val="009576AC"/>
    <w:rsid w:val="0097080D"/>
    <w:rsid w:val="00975CC9"/>
    <w:rsid w:val="00976744"/>
    <w:rsid w:val="0098167D"/>
    <w:rsid w:val="00983443"/>
    <w:rsid w:val="0098392B"/>
    <w:rsid w:val="009949D4"/>
    <w:rsid w:val="009A2BBB"/>
    <w:rsid w:val="009B1364"/>
    <w:rsid w:val="009B5B17"/>
    <w:rsid w:val="009C12F7"/>
    <w:rsid w:val="009C45EE"/>
    <w:rsid w:val="009C63F8"/>
    <w:rsid w:val="009D3823"/>
    <w:rsid w:val="009E2D1C"/>
    <w:rsid w:val="009E7A31"/>
    <w:rsid w:val="009F16F3"/>
    <w:rsid w:val="00A120DD"/>
    <w:rsid w:val="00A130C7"/>
    <w:rsid w:val="00A16683"/>
    <w:rsid w:val="00A2710C"/>
    <w:rsid w:val="00A306EE"/>
    <w:rsid w:val="00A30917"/>
    <w:rsid w:val="00A427DC"/>
    <w:rsid w:val="00A44367"/>
    <w:rsid w:val="00A46D74"/>
    <w:rsid w:val="00A47B59"/>
    <w:rsid w:val="00A51962"/>
    <w:rsid w:val="00A52B69"/>
    <w:rsid w:val="00A533BC"/>
    <w:rsid w:val="00A63A92"/>
    <w:rsid w:val="00A82058"/>
    <w:rsid w:val="00A82D35"/>
    <w:rsid w:val="00A916F9"/>
    <w:rsid w:val="00A97938"/>
    <w:rsid w:val="00AB0191"/>
    <w:rsid w:val="00AB76C5"/>
    <w:rsid w:val="00AC4249"/>
    <w:rsid w:val="00AC6957"/>
    <w:rsid w:val="00AD2F6E"/>
    <w:rsid w:val="00AF60CF"/>
    <w:rsid w:val="00B008FF"/>
    <w:rsid w:val="00B07FF4"/>
    <w:rsid w:val="00B15998"/>
    <w:rsid w:val="00B179D8"/>
    <w:rsid w:val="00B25039"/>
    <w:rsid w:val="00B27228"/>
    <w:rsid w:val="00B27FCE"/>
    <w:rsid w:val="00B31E92"/>
    <w:rsid w:val="00B3347B"/>
    <w:rsid w:val="00B34CB3"/>
    <w:rsid w:val="00B359CE"/>
    <w:rsid w:val="00B40E89"/>
    <w:rsid w:val="00B45A96"/>
    <w:rsid w:val="00B4742B"/>
    <w:rsid w:val="00B53642"/>
    <w:rsid w:val="00B55FEF"/>
    <w:rsid w:val="00B63CB0"/>
    <w:rsid w:val="00B64311"/>
    <w:rsid w:val="00B72991"/>
    <w:rsid w:val="00B82006"/>
    <w:rsid w:val="00B87E56"/>
    <w:rsid w:val="00BA620B"/>
    <w:rsid w:val="00BB1A5B"/>
    <w:rsid w:val="00BB2564"/>
    <w:rsid w:val="00BB5BC5"/>
    <w:rsid w:val="00BC7FD9"/>
    <w:rsid w:val="00BF26B5"/>
    <w:rsid w:val="00BF7FC2"/>
    <w:rsid w:val="00C053BF"/>
    <w:rsid w:val="00C06F30"/>
    <w:rsid w:val="00C11D92"/>
    <w:rsid w:val="00C15202"/>
    <w:rsid w:val="00C313CB"/>
    <w:rsid w:val="00C326C3"/>
    <w:rsid w:val="00C33582"/>
    <w:rsid w:val="00C43BF6"/>
    <w:rsid w:val="00C474D0"/>
    <w:rsid w:val="00C52408"/>
    <w:rsid w:val="00C52C83"/>
    <w:rsid w:val="00C62402"/>
    <w:rsid w:val="00C65946"/>
    <w:rsid w:val="00C66CEA"/>
    <w:rsid w:val="00C712A2"/>
    <w:rsid w:val="00C75C8B"/>
    <w:rsid w:val="00C772C7"/>
    <w:rsid w:val="00C87F25"/>
    <w:rsid w:val="00C925BD"/>
    <w:rsid w:val="00C97378"/>
    <w:rsid w:val="00CA632C"/>
    <w:rsid w:val="00CA6CE3"/>
    <w:rsid w:val="00CB15CC"/>
    <w:rsid w:val="00CB26E5"/>
    <w:rsid w:val="00CB2E4A"/>
    <w:rsid w:val="00CB352B"/>
    <w:rsid w:val="00CB5C14"/>
    <w:rsid w:val="00CE0655"/>
    <w:rsid w:val="00CE62FC"/>
    <w:rsid w:val="00CF6166"/>
    <w:rsid w:val="00D02B53"/>
    <w:rsid w:val="00D06954"/>
    <w:rsid w:val="00D12DC2"/>
    <w:rsid w:val="00D14C39"/>
    <w:rsid w:val="00D17217"/>
    <w:rsid w:val="00D23902"/>
    <w:rsid w:val="00D34455"/>
    <w:rsid w:val="00D345E7"/>
    <w:rsid w:val="00D37D9B"/>
    <w:rsid w:val="00D40DCD"/>
    <w:rsid w:val="00D413D7"/>
    <w:rsid w:val="00D41A91"/>
    <w:rsid w:val="00D42245"/>
    <w:rsid w:val="00D43B7C"/>
    <w:rsid w:val="00D46367"/>
    <w:rsid w:val="00D55826"/>
    <w:rsid w:val="00D63BB7"/>
    <w:rsid w:val="00D74C30"/>
    <w:rsid w:val="00D76196"/>
    <w:rsid w:val="00D80548"/>
    <w:rsid w:val="00D94E4B"/>
    <w:rsid w:val="00DA0203"/>
    <w:rsid w:val="00DA5954"/>
    <w:rsid w:val="00DA6E1D"/>
    <w:rsid w:val="00DB3140"/>
    <w:rsid w:val="00DB4036"/>
    <w:rsid w:val="00DC13CC"/>
    <w:rsid w:val="00DD166A"/>
    <w:rsid w:val="00DE57F4"/>
    <w:rsid w:val="00DE59E0"/>
    <w:rsid w:val="00DF04C2"/>
    <w:rsid w:val="00DF4C62"/>
    <w:rsid w:val="00E0074C"/>
    <w:rsid w:val="00E03E97"/>
    <w:rsid w:val="00E14CCC"/>
    <w:rsid w:val="00E25EBF"/>
    <w:rsid w:val="00E311EC"/>
    <w:rsid w:val="00E35418"/>
    <w:rsid w:val="00E35905"/>
    <w:rsid w:val="00E4530D"/>
    <w:rsid w:val="00E526C1"/>
    <w:rsid w:val="00E55362"/>
    <w:rsid w:val="00E64749"/>
    <w:rsid w:val="00E647A1"/>
    <w:rsid w:val="00E6586B"/>
    <w:rsid w:val="00E66FF5"/>
    <w:rsid w:val="00E93606"/>
    <w:rsid w:val="00EA1D38"/>
    <w:rsid w:val="00EA3E38"/>
    <w:rsid w:val="00EA4561"/>
    <w:rsid w:val="00EA73F2"/>
    <w:rsid w:val="00EC5921"/>
    <w:rsid w:val="00ED0463"/>
    <w:rsid w:val="00ED4DF3"/>
    <w:rsid w:val="00EE01AC"/>
    <w:rsid w:val="00EE6841"/>
    <w:rsid w:val="00EE77E0"/>
    <w:rsid w:val="00EF6A64"/>
    <w:rsid w:val="00EF6B03"/>
    <w:rsid w:val="00F0097F"/>
    <w:rsid w:val="00F04F84"/>
    <w:rsid w:val="00F13473"/>
    <w:rsid w:val="00F16CD2"/>
    <w:rsid w:val="00F25022"/>
    <w:rsid w:val="00F4296D"/>
    <w:rsid w:val="00F50A3E"/>
    <w:rsid w:val="00F547CC"/>
    <w:rsid w:val="00F6737F"/>
    <w:rsid w:val="00F92083"/>
    <w:rsid w:val="00FB168D"/>
    <w:rsid w:val="00FC199E"/>
    <w:rsid w:val="00FC6FFB"/>
    <w:rsid w:val="00FD6C6E"/>
    <w:rsid w:val="00FF03D8"/>
    <w:rsid w:val="00FF5572"/>
    <w:rsid w:val="00FF7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C474D0"/>
    <w:pPr>
      <w:ind w:left="720"/>
      <w:contextualSpacing/>
    </w:pPr>
  </w:style>
  <w:style w:type="paragraph" w:styleId="StandardWeb">
    <w:name w:val="Normal (Web)"/>
    <w:basedOn w:val="Standard"/>
    <w:uiPriority w:val="99"/>
    <w:unhideWhenUsed/>
    <w:rsid w:val="00BB1A5B"/>
    <w:pPr>
      <w:spacing w:before="100" w:beforeAutospacing="1" w:after="100" w:afterAutospacing="1"/>
    </w:pPr>
    <w:rPr>
      <w:rFonts w:ascii="Times New Roman" w:hAnsi="Times New Roman" w:cs="Times New Roman"/>
      <w:sz w:val="24"/>
      <w:szCs w:val="24"/>
      <w:lang w:eastAsia="de-CH"/>
    </w:rPr>
  </w:style>
  <w:style w:type="character" w:styleId="Fett">
    <w:name w:val="Strong"/>
    <w:basedOn w:val="Absatz-Standardschriftart"/>
    <w:uiPriority w:val="22"/>
    <w:qFormat/>
    <w:rsid w:val="00BB1A5B"/>
    <w:rPr>
      <w:b/>
      <w:bCs/>
    </w:rPr>
  </w:style>
  <w:style w:type="paragraph" w:styleId="Funotentext">
    <w:name w:val="footnote text"/>
    <w:basedOn w:val="Standard"/>
    <w:link w:val="FunotentextZchn"/>
    <w:uiPriority w:val="99"/>
    <w:semiHidden/>
    <w:unhideWhenUsed/>
    <w:rsid w:val="009B5B17"/>
    <w:rPr>
      <w:sz w:val="20"/>
    </w:rPr>
  </w:style>
  <w:style w:type="character" w:customStyle="1" w:styleId="FunotentextZchn">
    <w:name w:val="Fußnotentext Zchn"/>
    <w:basedOn w:val="Absatz-Standardschriftart"/>
    <w:link w:val="Funotentext"/>
    <w:uiPriority w:val="99"/>
    <w:semiHidden/>
    <w:rsid w:val="009B5B17"/>
    <w:rPr>
      <w:rFonts w:ascii="HelveticaNeueLT Std" w:hAnsi="HelveticaNeueLT Std" w:cs="Arial"/>
      <w:lang w:eastAsia="en-US"/>
    </w:rPr>
  </w:style>
  <w:style w:type="character" w:styleId="Funotenzeichen">
    <w:name w:val="footnote reference"/>
    <w:basedOn w:val="Absatz-Standardschriftart"/>
    <w:uiPriority w:val="99"/>
    <w:semiHidden/>
    <w:unhideWhenUsed/>
    <w:rsid w:val="009B5B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C474D0"/>
    <w:pPr>
      <w:ind w:left="720"/>
      <w:contextualSpacing/>
    </w:pPr>
  </w:style>
  <w:style w:type="paragraph" w:styleId="StandardWeb">
    <w:name w:val="Normal (Web)"/>
    <w:basedOn w:val="Standard"/>
    <w:uiPriority w:val="99"/>
    <w:unhideWhenUsed/>
    <w:rsid w:val="00BB1A5B"/>
    <w:pPr>
      <w:spacing w:before="100" w:beforeAutospacing="1" w:after="100" w:afterAutospacing="1"/>
    </w:pPr>
    <w:rPr>
      <w:rFonts w:ascii="Times New Roman" w:hAnsi="Times New Roman" w:cs="Times New Roman"/>
      <w:sz w:val="24"/>
      <w:szCs w:val="24"/>
      <w:lang w:eastAsia="de-CH"/>
    </w:rPr>
  </w:style>
  <w:style w:type="character" w:styleId="Fett">
    <w:name w:val="Strong"/>
    <w:basedOn w:val="Absatz-Standardschriftart"/>
    <w:uiPriority w:val="22"/>
    <w:qFormat/>
    <w:rsid w:val="00BB1A5B"/>
    <w:rPr>
      <w:b/>
      <w:bCs/>
    </w:rPr>
  </w:style>
  <w:style w:type="paragraph" w:styleId="Funotentext">
    <w:name w:val="footnote text"/>
    <w:basedOn w:val="Standard"/>
    <w:link w:val="FunotentextZchn"/>
    <w:uiPriority w:val="99"/>
    <w:semiHidden/>
    <w:unhideWhenUsed/>
    <w:rsid w:val="009B5B17"/>
    <w:rPr>
      <w:sz w:val="20"/>
    </w:rPr>
  </w:style>
  <w:style w:type="character" w:customStyle="1" w:styleId="FunotentextZchn">
    <w:name w:val="Fußnotentext Zchn"/>
    <w:basedOn w:val="Absatz-Standardschriftart"/>
    <w:link w:val="Funotentext"/>
    <w:uiPriority w:val="99"/>
    <w:semiHidden/>
    <w:rsid w:val="009B5B17"/>
    <w:rPr>
      <w:rFonts w:ascii="HelveticaNeueLT Std" w:hAnsi="HelveticaNeueLT Std" w:cs="Arial"/>
      <w:lang w:eastAsia="en-US"/>
    </w:rPr>
  </w:style>
  <w:style w:type="character" w:styleId="Funotenzeichen">
    <w:name w:val="footnote reference"/>
    <w:basedOn w:val="Absatz-Standardschriftart"/>
    <w:uiPriority w:val="99"/>
    <w:semiHidden/>
    <w:unhideWhenUsed/>
    <w:rsid w:val="009B5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hsst\Documents\Vorlagen\Vorlage%20Didaktische%20Hinweise%20Filmreih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6757-4399-42EB-A5D6-0BFFA8EB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Didaktische Hinweise Filmreihe.dotx</Template>
  <TotalTime>0</TotalTime>
  <Pages>2</Pages>
  <Words>835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6525</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Trachsler, Stefanie</dc:creator>
  <cp:lastModifiedBy>Marriott, Steven</cp:lastModifiedBy>
  <cp:revision>9</cp:revision>
  <cp:lastPrinted>2013-01-23T17:19:00Z</cp:lastPrinted>
  <dcterms:created xsi:type="dcterms:W3CDTF">2013-01-24T15:16:00Z</dcterms:created>
  <dcterms:modified xsi:type="dcterms:W3CDTF">2013-01-24T16:25:00Z</dcterms:modified>
  <cp:category>Zuma Vorlage phe</cp:category>
</cp:coreProperties>
</file>