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5A0F97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4915" cy="697865"/>
                  <wp:effectExtent l="19050" t="0" r="635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772476" w:rsidP="00772476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RPr="00A51F9B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A51F9B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A51F9B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A51F9B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A51F9B" w:rsidRDefault="0061455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3" name="Grafik 3" descr="spa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spa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A51F9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A51F9B" w:rsidRDefault="00A427DC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A51F9B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A51F9B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A51F9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A51F9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A51F9B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A51F9B" w:rsidRDefault="00D86417" w:rsidP="00D86417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Wirtschaft und Gesellschaft</w:t>
            </w:r>
          </w:p>
        </w:tc>
      </w:tr>
      <w:tr w:rsidR="00A427DC" w:rsidRPr="00A51F9B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A51F9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A51F9B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51F9B" w:rsidRDefault="00D86417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Sparen</w:t>
            </w:r>
            <w:r w:rsidR="00A51F9B">
              <w:rPr>
                <w:rFonts w:ascii="Arial" w:hAnsi="Arial"/>
                <w:sz w:val="20"/>
              </w:rPr>
              <w:t xml:space="preserve"> (8)</w:t>
            </w:r>
          </w:p>
          <w:p w:rsidR="00A427DC" w:rsidRPr="00A51F9B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A51F9B" w:rsidRDefault="00614557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  <w:r w:rsidRPr="00A51F9B">
              <w:rPr>
                <w:rFonts w:ascii="Arial" w:hAnsi="Arial"/>
                <w:sz w:val="20"/>
              </w:rPr>
              <w:t>:00 Minuten</w:t>
            </w:r>
          </w:p>
          <w:p w:rsidR="00A427DC" w:rsidRPr="00A51F9B" w:rsidRDefault="00614557" w:rsidP="00614557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Zweikanal-Ton</w:t>
            </w:r>
            <w:r w:rsidRPr="00A51F9B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480092" w:rsidRPr="00A51F9B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7"/>
        <w:gridCol w:w="180"/>
        <w:gridCol w:w="6258"/>
      </w:tblGrid>
      <w:tr w:rsidR="00480092" w:rsidRPr="00A51F9B" w:rsidTr="00A82058">
        <w:tc>
          <w:tcPr>
            <w:tcW w:w="2777" w:type="dxa"/>
          </w:tcPr>
          <w:p w:rsidR="00480092" w:rsidRPr="00A51F9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A51F9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 Welches sind Beispiele für Zwecksparen?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Ferien, Autoprüfung, Ausbildung, grössere Anschaffungen, Mobilt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lefon, MP3-Player, Fahrrad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 Wie heisst das Gegenstück zum Zwecksparen? Wozu dient es?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Zwangssparen. Es dient für Unvorhergesehenes und für die Zeit nach der Pensionierung. Beim Zwangssparen hat der Sparer kaum eine Möglichkeit, aufs Sparen zu verzichten. Es kann sogar geset</w:t>
            </w:r>
            <w:r>
              <w:rPr>
                <w:rFonts w:ascii="Arial" w:hAnsi="Arial"/>
                <w:sz w:val="20"/>
              </w:rPr>
              <w:t>z</w:t>
            </w:r>
            <w:r>
              <w:rPr>
                <w:rFonts w:ascii="Arial" w:hAnsi="Arial"/>
                <w:sz w:val="20"/>
              </w:rPr>
              <w:t xml:space="preserve">lich vorgeschrieben sein, wie </w:t>
            </w:r>
            <w:bookmarkStart w:id="0" w:name="_GoBack"/>
            <w:bookmarkEnd w:id="0"/>
            <w:r>
              <w:rPr>
                <w:rFonts w:ascii="Arial" w:hAnsi="Arial"/>
                <w:sz w:val="20"/>
              </w:rPr>
              <w:t>etwa die AHV-Beiträge.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3. Definiere den Begriff «Sparen».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Sparen ist das Zurücklegen von momentan freien Mitteln zum Zweck einer späteren Verwendung. Momentaner Konsumverzicht, um sp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ter mehr oder etwas Grösseres konsumieren zu können. Oder sin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gemässe Antworten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 Welche Sparformen zählen zu den Papierwert-Anlagen?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Sparkonto, Aktien, Obligationen, Anteilscheine von Anlagefonds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5. Welche Sparformen zählen zu den Sachwert-Anlagen?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Kunst, Schmuck, Briefmarken, Oldtimer. Ferner: Immobilien und Edelmetalle wie Gold, Silber und so weiter.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6. Nenne die drei wichtigsten Sparziele, die zum «magischen Dreieck» gehören. Erkläre jedes dieser Ziele in eigenen Worten.</w:t>
            </w:r>
          </w:p>
          <w:p w:rsidR="00A51F9B" w:rsidRDefault="00A51F9B" w:rsidP="00A51F9B">
            <w:pPr>
              <w:pStyle w:val="Kopfzeile"/>
              <w:numPr>
                <w:ilvl w:val="0"/>
                <w:numId w:val="7"/>
              </w:numPr>
              <w:tabs>
                <w:tab w:val="left" w:pos="397"/>
                <w:tab w:val="left" w:pos="708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Rentabilität, auch Rendite: Sparen soll einen Ertrag abwerfen, also das Kapital vergrössern.</w:t>
            </w:r>
          </w:p>
          <w:p w:rsidR="00A51F9B" w:rsidRDefault="00A51F9B" w:rsidP="00A51F9B">
            <w:pPr>
              <w:pStyle w:val="Kopfzeile"/>
              <w:numPr>
                <w:ilvl w:val="0"/>
                <w:numId w:val="7"/>
              </w:numPr>
              <w:tabs>
                <w:tab w:val="left" w:pos="397"/>
                <w:tab w:val="left" w:pos="708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Liquidität, auch Verfügbarkeit: Je liquider eine </w:t>
            </w:r>
            <w:proofErr w:type="spellStart"/>
            <w:r>
              <w:rPr>
                <w:rFonts w:ascii="Arial" w:hAnsi="Arial"/>
                <w:sz w:val="20"/>
              </w:rPr>
              <w:t>Sparform</w:t>
            </w:r>
            <w:proofErr w:type="spellEnd"/>
            <w:r>
              <w:rPr>
                <w:rFonts w:ascii="Arial" w:hAnsi="Arial"/>
                <w:sz w:val="20"/>
              </w:rPr>
              <w:t xml:space="preserve"> ist, de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 xml:space="preserve">to schneller können die </w:t>
            </w:r>
            <w:proofErr w:type="spellStart"/>
            <w:r>
              <w:rPr>
                <w:rFonts w:ascii="Arial" w:hAnsi="Arial"/>
                <w:sz w:val="20"/>
              </w:rPr>
              <w:t>SparerInnen</w:t>
            </w:r>
            <w:proofErr w:type="spellEnd"/>
            <w:r>
              <w:rPr>
                <w:rFonts w:ascii="Arial" w:hAnsi="Arial"/>
                <w:sz w:val="20"/>
              </w:rPr>
              <w:t xml:space="preserve"> wieder über das Geld ve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fügen.</w:t>
            </w:r>
          </w:p>
          <w:p w:rsidR="00A51F9B" w:rsidRDefault="00A51F9B" w:rsidP="00A51F9B">
            <w:pPr>
              <w:pStyle w:val="Kopfzeile"/>
              <w:numPr>
                <w:ilvl w:val="0"/>
                <w:numId w:val="7"/>
              </w:numPr>
              <w:tabs>
                <w:tab w:val="left" w:pos="397"/>
                <w:tab w:val="left" w:pos="708"/>
              </w:tabs>
              <w:ind w:left="397" w:hanging="39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Sicherheit: Wie gross ist das Risiko, dass eine Kapitalanlage einen Teil ihres Wertes verliert oder gar ganz wertlos wird?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7. Welche weiteren Kriterien können für eine Kapitalanlage von Bedeutung sein?</w:t>
            </w:r>
            <w:r>
              <w:rPr>
                <w:rFonts w:ascii="Arial" w:hAnsi="Arial"/>
                <w:sz w:val="20"/>
              </w:rPr>
              <w:br/>
              <w:t>Individuelle Antworten, Aspekte wie Ethik, zum Beispiel kein Kapital für Waffen oder Suchtmittel; Nachhaltigkeit; Ökologie; Vorliebe für bestimmte Branchen oder Länder; persönliche Risikobereitschaft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8. Vergleiche Sparen und Horten. Welche Unterschiede stellst du fest?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Beim Horten wird Bargeld zuhause aufbewahrt. Damit unterliegt es dem Risiko des Diebstahls und wirft keinen Zinsertrag ab. Das Ho</w:t>
            </w:r>
            <w:r>
              <w:rPr>
                <w:rFonts w:ascii="Arial" w:hAnsi="Arial"/>
                <w:sz w:val="20"/>
              </w:rPr>
              <w:t>r</w:t>
            </w:r>
            <w:r>
              <w:rPr>
                <w:rFonts w:ascii="Arial" w:hAnsi="Arial"/>
                <w:sz w:val="20"/>
              </w:rPr>
              <w:t>ten ist volkswirtschaftlich schädlich, weil das Geld für diese Dauer dem Wirtschaftskreislauf entzogen wird.</w:t>
            </w:r>
            <w:r>
              <w:rPr>
                <w:rFonts w:ascii="Arial" w:hAnsi="Arial"/>
                <w:sz w:val="20"/>
              </w:rPr>
              <w:br/>
              <w:t xml:space="preserve">Beim Sparen, zum Beispiel auf einem Sparkonto, stellt man das </w:t>
            </w:r>
            <w:r>
              <w:rPr>
                <w:rFonts w:ascii="Arial" w:hAnsi="Arial"/>
                <w:sz w:val="20"/>
              </w:rPr>
              <w:lastRenderedPageBreak/>
              <w:t>Geld einer Bank zur Verfügung. Meist handelt es sich um Buchgeld, also Kontoguthaben. Das Diebstahlrisiko ist wesentlich geringer und das Kapital wirft einen Zins ab. Das Geld bleibt im Wirtschaftskrei</w:t>
            </w:r>
            <w:r>
              <w:rPr>
                <w:rFonts w:ascii="Arial" w:hAnsi="Arial"/>
                <w:sz w:val="20"/>
              </w:rPr>
              <w:t>s</w:t>
            </w:r>
            <w:r>
              <w:rPr>
                <w:rFonts w:ascii="Arial" w:hAnsi="Arial"/>
                <w:sz w:val="20"/>
              </w:rPr>
              <w:t>lauf, die Bank gibt Kredite an andere Wirtschaftsteilnehmer, die m</w:t>
            </w:r>
            <w:r>
              <w:rPr>
                <w:rFonts w:ascii="Arial" w:hAnsi="Arial"/>
                <w:sz w:val="20"/>
              </w:rPr>
              <w:t>o</w:t>
            </w:r>
            <w:r>
              <w:rPr>
                <w:rFonts w:ascii="Arial" w:hAnsi="Arial"/>
                <w:sz w:val="20"/>
              </w:rPr>
              <w:t>mentan gerade Geld benötigen.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9. Was bedeutet die Aussage «Spare in der Zeit, so hast du in der Not»? Gilt dieses Sprichwort auch für dich? Weshalb? Weshalb nicht?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Individuelle Antwort. Das Sprichwort stammt aus einer Zeit, in der die staatlichen Sozialversicherungen noch nicht oder kaum vorhanden waren. Wer in seinen guten Zeiten nichts vom Einkommen zurückg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legt hatte, wurde durch Unfall, Krankheit, Invalidität, Arbeitslosigkeit oder das Alter existenziell bedroht. Andererseits hat die grosse Infl</w:t>
            </w:r>
            <w:r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tion im Deutschland der 1920er-Jahre die Sparguthaben der kleinen Leute praktisch vernichtet.</w:t>
            </w:r>
            <w:r>
              <w:rPr>
                <w:rFonts w:ascii="Arial" w:hAnsi="Arial"/>
                <w:sz w:val="20"/>
              </w:rPr>
              <w:br/>
              <w:t>In der heutigen Zeit findet oft das Gegenteil statt. Um mit dem Ko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sum nicht warten zu müssen, verschulden sich immer mehr Leute, was durch die steigende Zahl von überzogenen Kreditkarten, Klei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krediten oder vermehrtem Auto-Leasing zum Ausdruck kommt.</w:t>
            </w:r>
            <w:r>
              <w:rPr>
                <w:rFonts w:ascii="Arial" w:hAnsi="Arial"/>
                <w:sz w:val="20"/>
              </w:rPr>
              <w:br/>
              <w:t>Einer der Auslöser der grossen Finanz- und Wirtschaftskrise, die im Jahr 2008 begann, war die übermässige Verschuldung auf dem amerikanischen Immobilienmarkt.</w:t>
            </w:r>
          </w:p>
          <w:p w:rsidR="00A51F9B" w:rsidRDefault="00A51F9B" w:rsidP="00A51F9B">
            <w:pPr>
              <w:pStyle w:val="Kopfzeile"/>
              <w:tabs>
                <w:tab w:val="left" w:pos="397"/>
              </w:tabs>
              <w:rPr>
                <w:rFonts w:ascii="Arial" w:hAnsi="Arial"/>
                <w:sz w:val="20"/>
              </w:rPr>
            </w:pPr>
          </w:p>
          <w:p w:rsidR="00480092" w:rsidRPr="00A51F9B" w:rsidRDefault="00A51F9B" w:rsidP="00A51F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10. Weshalb sind Aktien nicht in jedem Fall Papierwert-Anlagen?</w:t>
            </w:r>
            <w:r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sz w:val="20"/>
              </w:rPr>
              <w:t>Eine Aktie verkörpert einen Anteil am Reinvermögen einer Aktieng</w:t>
            </w:r>
            <w:r>
              <w:rPr>
                <w:rFonts w:ascii="Arial" w:hAnsi="Arial"/>
                <w:sz w:val="20"/>
              </w:rPr>
              <w:t>e</w:t>
            </w:r>
            <w:r>
              <w:rPr>
                <w:rFonts w:ascii="Arial" w:hAnsi="Arial"/>
                <w:sz w:val="20"/>
              </w:rPr>
              <w:t>sellschaft. Der Charakter dieser Aktie als Kapitalanlage hängt nun davon ab, woraus das Vermögen der AG hauptsächlich besteht. Bei einem Industrieunternehmen oder einer Immobiliengesellschaft sind es vorwiegend Sachwerte.</w:t>
            </w:r>
          </w:p>
        </w:tc>
      </w:tr>
      <w:tr w:rsidR="00480092" w:rsidRPr="00A51F9B" w:rsidTr="00A82058">
        <w:tc>
          <w:tcPr>
            <w:tcW w:w="2777" w:type="dxa"/>
          </w:tcPr>
          <w:p w:rsidR="00480092" w:rsidRPr="00A51F9B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A51F9B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A51F9B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1"/>
      <w:footerReference w:type="default" r:id="rId12"/>
      <w:footerReference w:type="first" r:id="rId13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E7" w:rsidRDefault="00936BE7">
      <w:r>
        <w:separator/>
      </w:r>
    </w:p>
  </w:endnote>
  <w:endnote w:type="continuationSeparator" w:id="0">
    <w:p w:rsidR="00936BE7" w:rsidRDefault="00936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F24D61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641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86417" w:rsidRPr="00D8641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F24D61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8641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D86417" w:rsidRPr="00D8641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E7" w:rsidRDefault="00936BE7">
      <w:r>
        <w:separator/>
      </w:r>
    </w:p>
  </w:footnote>
  <w:footnote w:type="continuationSeparator" w:id="0">
    <w:p w:rsidR="00936BE7" w:rsidRDefault="00936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5A0F97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 wp14:anchorId="527F041B" wp14:editId="6DCD5287">
                <wp:extent cx="2494915" cy="697865"/>
                <wp:effectExtent l="19050" t="0" r="635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4915" cy="697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772476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772476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A51F9B" w:rsidRDefault="0061455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 xml:space="preserve">Sparen 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0855F7"/>
    <w:multiLevelType w:val="hybridMultilevel"/>
    <w:tmpl w:val="35E4BC4E"/>
    <w:lvl w:ilvl="0" w:tplc="0407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47105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A1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C21A1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14557"/>
    <w:rsid w:val="006E2F5F"/>
    <w:rsid w:val="006F0AE2"/>
    <w:rsid w:val="0070285A"/>
    <w:rsid w:val="0070429F"/>
    <w:rsid w:val="00766C9D"/>
    <w:rsid w:val="00772476"/>
    <w:rsid w:val="007776A8"/>
    <w:rsid w:val="007A54CD"/>
    <w:rsid w:val="007B0B1A"/>
    <w:rsid w:val="00815690"/>
    <w:rsid w:val="008C2425"/>
    <w:rsid w:val="00936BE7"/>
    <w:rsid w:val="00940FF3"/>
    <w:rsid w:val="00976744"/>
    <w:rsid w:val="0098167D"/>
    <w:rsid w:val="0098392B"/>
    <w:rsid w:val="009B2299"/>
    <w:rsid w:val="00A120DD"/>
    <w:rsid w:val="00A427DC"/>
    <w:rsid w:val="00A51F9B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86417"/>
    <w:rsid w:val="00DC176D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24D61"/>
    <w:rsid w:val="00F547CC"/>
    <w:rsid w:val="00F92083"/>
    <w:rsid w:val="00FA3C16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2%20Lehrer-Info\word-vorlagen%20zusatzmaterial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77C2-6D6E-4A3E-AE0E-D43B7BF0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</Template>
  <TotalTime>0</TotalTime>
  <Pages>2</Pages>
  <Words>514</Words>
  <Characters>3332</Characters>
  <Application>Microsoft Office Word</Application>
  <DocSecurity>0</DocSecurity>
  <Lines>123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3819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LeserMa</dc:creator>
  <cp:lastModifiedBy>Trachsler, Stefanie</cp:lastModifiedBy>
  <cp:revision>3</cp:revision>
  <cp:lastPrinted>2010-07-26T14:15:00Z</cp:lastPrinted>
  <dcterms:created xsi:type="dcterms:W3CDTF">2012-06-11T14:13:00Z</dcterms:created>
  <dcterms:modified xsi:type="dcterms:W3CDTF">2012-07-10T12:51:00Z</dcterms:modified>
  <cp:category>Zuma Vorlage phe</cp:category>
</cp:coreProperties>
</file>